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3D9D" w:rsidRDefault="00783D9D" w:rsidP="00105AFB">
      <w:pPr>
        <w:jc w:val="center"/>
        <w:rPr>
          <w:b/>
          <w:sz w:val="40"/>
          <w:szCs w:val="40"/>
        </w:rPr>
      </w:pPr>
    </w:p>
    <w:p w:rsidR="00783D9D" w:rsidRDefault="00783D9D" w:rsidP="00105AFB">
      <w:pPr>
        <w:jc w:val="center"/>
        <w:rPr>
          <w:b/>
          <w:sz w:val="40"/>
          <w:szCs w:val="40"/>
        </w:rPr>
      </w:pPr>
    </w:p>
    <w:p w:rsidR="00783D9D" w:rsidRDefault="00783D9D" w:rsidP="00105AFB">
      <w:pPr>
        <w:jc w:val="center"/>
        <w:rPr>
          <w:b/>
          <w:sz w:val="40"/>
          <w:szCs w:val="40"/>
        </w:rPr>
      </w:pPr>
    </w:p>
    <w:p w:rsidR="00783D9D" w:rsidRDefault="00783D9D" w:rsidP="00105AFB">
      <w:pPr>
        <w:jc w:val="center"/>
        <w:rPr>
          <w:b/>
          <w:sz w:val="40"/>
          <w:szCs w:val="40"/>
        </w:rPr>
      </w:pPr>
      <w:r>
        <w:rPr>
          <w:rFonts w:hint="eastAsia"/>
          <w:b/>
          <w:sz w:val="40"/>
          <w:szCs w:val="40"/>
        </w:rPr>
        <w:t>四川省地方标准</w:t>
      </w:r>
    </w:p>
    <w:p w:rsidR="00783D9D" w:rsidRDefault="00783D9D" w:rsidP="00105AFB">
      <w:pPr>
        <w:jc w:val="center"/>
        <w:rPr>
          <w:b/>
          <w:sz w:val="40"/>
          <w:szCs w:val="40"/>
        </w:rPr>
      </w:pPr>
      <w:r>
        <w:rPr>
          <w:rFonts w:hint="eastAsia"/>
          <w:b/>
          <w:sz w:val="40"/>
          <w:szCs w:val="40"/>
        </w:rPr>
        <w:t>《</w:t>
      </w:r>
      <w:r w:rsidRPr="00E14F24">
        <w:rPr>
          <w:rFonts w:hint="eastAsia"/>
          <w:b/>
          <w:sz w:val="40"/>
          <w:szCs w:val="40"/>
        </w:rPr>
        <w:t>锂电材料中磁性颗粒的测定</w:t>
      </w:r>
      <w:r w:rsidRPr="00E14F24">
        <w:rPr>
          <w:b/>
          <w:sz w:val="40"/>
          <w:szCs w:val="40"/>
        </w:rPr>
        <w:t xml:space="preserve"> </w:t>
      </w:r>
      <w:r w:rsidRPr="00E14F24">
        <w:rPr>
          <w:b/>
          <w:sz w:val="40"/>
          <w:szCs w:val="40"/>
        </w:rPr>
        <w:t>光学显微镜法</w:t>
      </w:r>
      <w:r>
        <w:rPr>
          <w:rFonts w:hint="eastAsia"/>
          <w:b/>
          <w:sz w:val="40"/>
          <w:szCs w:val="40"/>
        </w:rPr>
        <w:t>》</w:t>
      </w:r>
    </w:p>
    <w:p w:rsidR="00783D9D" w:rsidRDefault="00783D9D" w:rsidP="00783D9D">
      <w:pPr>
        <w:widowControl/>
        <w:jc w:val="center"/>
        <w:rPr>
          <w:b/>
          <w:sz w:val="40"/>
          <w:szCs w:val="40"/>
        </w:rPr>
      </w:pPr>
    </w:p>
    <w:p w:rsidR="00783D9D" w:rsidRDefault="00783D9D" w:rsidP="00783D9D">
      <w:pPr>
        <w:widowControl/>
        <w:jc w:val="center"/>
        <w:rPr>
          <w:b/>
          <w:sz w:val="40"/>
          <w:szCs w:val="40"/>
        </w:rPr>
      </w:pPr>
      <w:r>
        <w:rPr>
          <w:rFonts w:hint="eastAsia"/>
          <w:b/>
          <w:sz w:val="40"/>
          <w:szCs w:val="40"/>
        </w:rPr>
        <w:t>编制说明</w:t>
      </w:r>
    </w:p>
    <w:p w:rsidR="00783D9D" w:rsidRDefault="00783D9D">
      <w:pPr>
        <w:widowControl/>
        <w:jc w:val="left"/>
        <w:rPr>
          <w:b/>
          <w:sz w:val="40"/>
          <w:szCs w:val="40"/>
        </w:rPr>
      </w:pPr>
    </w:p>
    <w:p w:rsidR="00783D9D" w:rsidRDefault="00783D9D">
      <w:pPr>
        <w:widowControl/>
        <w:jc w:val="left"/>
        <w:rPr>
          <w:b/>
          <w:sz w:val="40"/>
          <w:szCs w:val="40"/>
        </w:rPr>
      </w:pPr>
    </w:p>
    <w:p w:rsidR="00783D9D" w:rsidRDefault="00783D9D">
      <w:pPr>
        <w:widowControl/>
        <w:jc w:val="left"/>
        <w:rPr>
          <w:b/>
          <w:sz w:val="40"/>
          <w:szCs w:val="40"/>
        </w:rPr>
      </w:pPr>
    </w:p>
    <w:p w:rsidR="00783D9D" w:rsidRDefault="00783D9D">
      <w:pPr>
        <w:widowControl/>
        <w:jc w:val="left"/>
        <w:rPr>
          <w:b/>
          <w:sz w:val="40"/>
          <w:szCs w:val="40"/>
        </w:rPr>
      </w:pPr>
    </w:p>
    <w:p w:rsidR="00783D9D" w:rsidRDefault="00783D9D">
      <w:pPr>
        <w:widowControl/>
        <w:jc w:val="left"/>
        <w:rPr>
          <w:b/>
          <w:sz w:val="40"/>
          <w:szCs w:val="40"/>
        </w:rPr>
      </w:pPr>
    </w:p>
    <w:p w:rsidR="00783D9D" w:rsidRDefault="00783D9D">
      <w:pPr>
        <w:widowControl/>
        <w:jc w:val="left"/>
        <w:rPr>
          <w:b/>
          <w:sz w:val="40"/>
          <w:szCs w:val="40"/>
        </w:rPr>
      </w:pPr>
    </w:p>
    <w:p w:rsidR="00783D9D" w:rsidRDefault="00783D9D">
      <w:pPr>
        <w:widowControl/>
        <w:jc w:val="left"/>
        <w:rPr>
          <w:b/>
          <w:sz w:val="40"/>
          <w:szCs w:val="40"/>
        </w:rPr>
      </w:pPr>
    </w:p>
    <w:p w:rsidR="00783D9D" w:rsidRDefault="00783D9D">
      <w:pPr>
        <w:widowControl/>
        <w:jc w:val="left"/>
        <w:rPr>
          <w:b/>
          <w:sz w:val="40"/>
          <w:szCs w:val="40"/>
        </w:rPr>
      </w:pPr>
    </w:p>
    <w:p w:rsidR="00783D9D" w:rsidRDefault="00783D9D">
      <w:pPr>
        <w:widowControl/>
        <w:jc w:val="left"/>
        <w:rPr>
          <w:b/>
          <w:sz w:val="40"/>
          <w:szCs w:val="40"/>
        </w:rPr>
      </w:pPr>
    </w:p>
    <w:p w:rsidR="00783D9D" w:rsidRPr="009D5B37" w:rsidRDefault="00783D9D">
      <w:pPr>
        <w:widowControl/>
        <w:jc w:val="left"/>
        <w:rPr>
          <w:b/>
          <w:sz w:val="36"/>
          <w:szCs w:val="36"/>
        </w:rPr>
      </w:pPr>
      <w:r w:rsidRPr="009D5B37">
        <w:rPr>
          <w:rFonts w:hint="eastAsia"/>
          <w:b/>
          <w:sz w:val="36"/>
          <w:szCs w:val="36"/>
        </w:rPr>
        <w:t>牵头编制单位：四川省产品质量监督检验检测院</w:t>
      </w:r>
    </w:p>
    <w:p w:rsidR="00783D9D" w:rsidRDefault="00783D9D">
      <w:pPr>
        <w:widowControl/>
        <w:jc w:val="left"/>
        <w:rPr>
          <w:b/>
          <w:sz w:val="40"/>
          <w:szCs w:val="40"/>
        </w:rPr>
      </w:pPr>
    </w:p>
    <w:p w:rsidR="00783D9D" w:rsidRDefault="00783D9D" w:rsidP="00783D9D">
      <w:pPr>
        <w:widowControl/>
        <w:jc w:val="center"/>
        <w:rPr>
          <w:b/>
          <w:sz w:val="40"/>
          <w:szCs w:val="40"/>
        </w:rPr>
      </w:pPr>
      <w:r>
        <w:rPr>
          <w:rFonts w:hint="eastAsia"/>
          <w:b/>
          <w:sz w:val="40"/>
          <w:szCs w:val="40"/>
        </w:rPr>
        <w:t>时间：</w:t>
      </w:r>
      <w:r w:rsidR="00370E39">
        <w:rPr>
          <w:rFonts w:hint="eastAsia"/>
          <w:b/>
          <w:sz w:val="40"/>
          <w:szCs w:val="40"/>
        </w:rPr>
        <w:t>2024</w:t>
      </w:r>
      <w:r>
        <w:rPr>
          <w:rFonts w:hint="eastAsia"/>
          <w:b/>
          <w:sz w:val="40"/>
          <w:szCs w:val="40"/>
        </w:rPr>
        <w:t>年</w:t>
      </w:r>
      <w:r w:rsidR="00370E39">
        <w:rPr>
          <w:rFonts w:hint="eastAsia"/>
          <w:b/>
          <w:sz w:val="40"/>
          <w:szCs w:val="40"/>
        </w:rPr>
        <w:t>5</w:t>
      </w:r>
      <w:r>
        <w:rPr>
          <w:rFonts w:hint="eastAsia"/>
          <w:b/>
          <w:sz w:val="40"/>
          <w:szCs w:val="40"/>
        </w:rPr>
        <w:t>月</w:t>
      </w:r>
    </w:p>
    <w:p w:rsidR="00783D9D" w:rsidRDefault="00783D9D">
      <w:pPr>
        <w:widowControl/>
        <w:jc w:val="left"/>
        <w:rPr>
          <w:b/>
          <w:sz w:val="40"/>
          <w:szCs w:val="40"/>
        </w:rPr>
      </w:pPr>
    </w:p>
    <w:p w:rsidR="00783D9D" w:rsidRDefault="00783D9D">
      <w:pPr>
        <w:widowControl/>
        <w:jc w:val="left"/>
        <w:rPr>
          <w:b/>
          <w:sz w:val="40"/>
          <w:szCs w:val="40"/>
        </w:rPr>
      </w:pPr>
    </w:p>
    <w:p w:rsidR="00783D9D" w:rsidRDefault="00783D9D">
      <w:pPr>
        <w:widowControl/>
        <w:jc w:val="left"/>
        <w:rPr>
          <w:b/>
          <w:sz w:val="40"/>
          <w:szCs w:val="40"/>
        </w:rPr>
      </w:pPr>
    </w:p>
    <w:p w:rsidR="0090784F" w:rsidRPr="00E14F24" w:rsidRDefault="00C10BC3" w:rsidP="00105AFB">
      <w:pPr>
        <w:jc w:val="center"/>
        <w:rPr>
          <w:b/>
          <w:sz w:val="40"/>
          <w:szCs w:val="40"/>
        </w:rPr>
      </w:pPr>
      <w:r w:rsidRPr="00E14F24">
        <w:rPr>
          <w:rFonts w:hint="eastAsia"/>
          <w:b/>
          <w:sz w:val="40"/>
          <w:szCs w:val="40"/>
        </w:rPr>
        <w:lastRenderedPageBreak/>
        <w:t>《</w:t>
      </w:r>
      <w:bookmarkStart w:id="0" w:name="_Hlk157537524"/>
      <w:r w:rsidRPr="00E14F24">
        <w:rPr>
          <w:rFonts w:hint="eastAsia"/>
          <w:b/>
          <w:sz w:val="40"/>
          <w:szCs w:val="40"/>
        </w:rPr>
        <w:t>锂电材料中磁性颗粒的测定</w:t>
      </w:r>
      <w:r w:rsidRPr="00E14F24">
        <w:rPr>
          <w:b/>
          <w:sz w:val="40"/>
          <w:szCs w:val="40"/>
        </w:rPr>
        <w:t xml:space="preserve"> </w:t>
      </w:r>
      <w:r w:rsidRPr="00E14F24">
        <w:rPr>
          <w:b/>
          <w:sz w:val="40"/>
          <w:szCs w:val="40"/>
        </w:rPr>
        <w:t>光学显微镜法</w:t>
      </w:r>
      <w:bookmarkEnd w:id="0"/>
      <w:r w:rsidRPr="00E14F24">
        <w:rPr>
          <w:rFonts w:hint="eastAsia"/>
          <w:b/>
          <w:sz w:val="40"/>
          <w:szCs w:val="40"/>
        </w:rPr>
        <w:t>》标准编制说明</w:t>
      </w:r>
    </w:p>
    <w:p w:rsidR="00C10BC3" w:rsidRPr="008D79C7" w:rsidRDefault="00C10BC3">
      <w:pPr>
        <w:rPr>
          <w:sz w:val="28"/>
          <w:szCs w:val="28"/>
        </w:rPr>
      </w:pPr>
    </w:p>
    <w:p w:rsidR="00C10BC3" w:rsidRPr="009D5B37" w:rsidRDefault="00C10BC3" w:rsidP="00783D9D">
      <w:pPr>
        <w:pStyle w:val="a5"/>
        <w:numPr>
          <w:ilvl w:val="0"/>
          <w:numId w:val="3"/>
        </w:numPr>
        <w:ind w:firstLineChars="0"/>
        <w:rPr>
          <w:b/>
          <w:bCs/>
          <w:sz w:val="32"/>
          <w:szCs w:val="32"/>
        </w:rPr>
      </w:pPr>
      <w:r w:rsidRPr="009D5B37">
        <w:rPr>
          <w:rFonts w:hint="eastAsia"/>
          <w:b/>
          <w:bCs/>
          <w:sz w:val="32"/>
          <w:szCs w:val="32"/>
        </w:rPr>
        <w:t>工作简况</w:t>
      </w:r>
    </w:p>
    <w:p w:rsidR="00C10BC3" w:rsidRPr="00783D9D" w:rsidRDefault="00783D9D" w:rsidP="00783D9D">
      <w:pPr>
        <w:pStyle w:val="a5"/>
        <w:ind w:left="360" w:firstLineChars="0" w:firstLine="0"/>
        <w:rPr>
          <w:sz w:val="28"/>
          <w:szCs w:val="28"/>
          <w:highlight w:val="lightGray"/>
        </w:rPr>
      </w:pPr>
      <w:r w:rsidRPr="00783D9D">
        <w:rPr>
          <w:rFonts w:hint="eastAsia"/>
          <w:sz w:val="28"/>
          <w:szCs w:val="28"/>
        </w:rPr>
        <w:t>（一）</w:t>
      </w:r>
      <w:r w:rsidR="00C10BC3" w:rsidRPr="00783D9D">
        <w:rPr>
          <w:rFonts w:hint="eastAsia"/>
          <w:sz w:val="28"/>
          <w:szCs w:val="28"/>
        </w:rPr>
        <w:t>任务来源</w:t>
      </w:r>
    </w:p>
    <w:p w:rsidR="00C10BC3" w:rsidRPr="008D79C7" w:rsidRDefault="00783D9D" w:rsidP="00783D9D">
      <w:pPr>
        <w:ind w:firstLineChars="200" w:firstLine="560"/>
        <w:rPr>
          <w:sz w:val="28"/>
          <w:szCs w:val="28"/>
        </w:rPr>
      </w:pPr>
      <w:r>
        <w:rPr>
          <w:rFonts w:hint="eastAsia"/>
          <w:sz w:val="28"/>
          <w:szCs w:val="28"/>
        </w:rPr>
        <w:t>根据</w:t>
      </w:r>
      <w:r w:rsidR="00B9681E" w:rsidRPr="008D79C7">
        <w:rPr>
          <w:rFonts w:hint="eastAsia"/>
          <w:sz w:val="28"/>
          <w:szCs w:val="28"/>
        </w:rPr>
        <w:t>“</w:t>
      </w:r>
      <w:r w:rsidR="00105AFB" w:rsidRPr="008D79C7">
        <w:rPr>
          <w:rFonts w:hint="eastAsia"/>
          <w:sz w:val="28"/>
          <w:szCs w:val="28"/>
        </w:rPr>
        <w:t>四川省市场监督管理局</w:t>
      </w:r>
      <w:r>
        <w:rPr>
          <w:rFonts w:hint="eastAsia"/>
          <w:sz w:val="28"/>
          <w:szCs w:val="28"/>
        </w:rPr>
        <w:t>《</w:t>
      </w:r>
      <w:r w:rsidR="00105AFB" w:rsidRPr="008D79C7">
        <w:rPr>
          <w:rFonts w:hint="eastAsia"/>
          <w:sz w:val="28"/>
          <w:szCs w:val="28"/>
        </w:rPr>
        <w:t>关于下达</w:t>
      </w:r>
      <w:r w:rsidR="00B9681E" w:rsidRPr="008D79C7">
        <w:rPr>
          <w:rFonts w:hint="eastAsia"/>
          <w:sz w:val="28"/>
          <w:szCs w:val="28"/>
        </w:rPr>
        <w:t>2023</w:t>
      </w:r>
      <w:r w:rsidR="00105AFB" w:rsidRPr="008D79C7">
        <w:rPr>
          <w:rFonts w:hint="eastAsia"/>
          <w:sz w:val="28"/>
          <w:szCs w:val="28"/>
        </w:rPr>
        <w:t>年度地方标准修订项目立项计划（第三批）的通知</w:t>
      </w:r>
      <w:r>
        <w:rPr>
          <w:rFonts w:hint="eastAsia"/>
          <w:sz w:val="28"/>
          <w:szCs w:val="28"/>
        </w:rPr>
        <w:t>》（</w:t>
      </w:r>
      <w:r w:rsidRPr="00783D9D">
        <w:rPr>
          <w:rFonts w:hint="eastAsia"/>
          <w:sz w:val="28"/>
          <w:szCs w:val="28"/>
        </w:rPr>
        <w:t>川市监函</w:t>
      </w:r>
      <w:r w:rsidRPr="00783D9D">
        <w:rPr>
          <w:rFonts w:hint="eastAsia"/>
          <w:sz w:val="28"/>
          <w:szCs w:val="28"/>
        </w:rPr>
        <w:t>[</w:t>
      </w:r>
      <w:r w:rsidRPr="00783D9D">
        <w:rPr>
          <w:sz w:val="28"/>
          <w:szCs w:val="28"/>
        </w:rPr>
        <w:t>2023]208</w:t>
      </w:r>
      <w:r w:rsidRPr="00783D9D">
        <w:rPr>
          <w:rFonts w:hint="eastAsia"/>
          <w:sz w:val="28"/>
          <w:szCs w:val="28"/>
        </w:rPr>
        <w:t>号）</w:t>
      </w:r>
      <w:r>
        <w:rPr>
          <w:rFonts w:hint="eastAsia"/>
          <w:sz w:val="28"/>
          <w:szCs w:val="28"/>
        </w:rPr>
        <w:t>的要求</w:t>
      </w:r>
      <w:r w:rsidR="00105AFB" w:rsidRPr="008D79C7">
        <w:rPr>
          <w:rFonts w:hint="eastAsia"/>
          <w:sz w:val="28"/>
          <w:szCs w:val="28"/>
        </w:rPr>
        <w:t>，《锂电材料中磁性颗粒的测定</w:t>
      </w:r>
      <w:r w:rsidR="00105AFB" w:rsidRPr="008D79C7">
        <w:rPr>
          <w:sz w:val="28"/>
          <w:szCs w:val="28"/>
        </w:rPr>
        <w:t xml:space="preserve"> </w:t>
      </w:r>
      <w:r w:rsidR="00105AFB" w:rsidRPr="008D79C7">
        <w:rPr>
          <w:sz w:val="28"/>
          <w:szCs w:val="28"/>
        </w:rPr>
        <w:t>光学显微镜法</w:t>
      </w:r>
      <w:r w:rsidR="00105AFB" w:rsidRPr="008D79C7">
        <w:rPr>
          <w:rFonts w:hint="eastAsia"/>
          <w:sz w:val="28"/>
          <w:szCs w:val="28"/>
        </w:rPr>
        <w:t>》列入四川省</w:t>
      </w:r>
      <w:r w:rsidR="00105AFB" w:rsidRPr="008D79C7">
        <w:rPr>
          <w:rFonts w:hint="eastAsia"/>
          <w:sz w:val="28"/>
          <w:szCs w:val="28"/>
        </w:rPr>
        <w:t>2023</w:t>
      </w:r>
      <w:r w:rsidR="00105AFB" w:rsidRPr="008D79C7">
        <w:rPr>
          <w:rFonts w:hint="eastAsia"/>
          <w:sz w:val="28"/>
          <w:szCs w:val="28"/>
        </w:rPr>
        <w:t>年度</w:t>
      </w:r>
      <w:r w:rsidR="0014211F">
        <w:rPr>
          <w:rFonts w:hint="eastAsia"/>
          <w:sz w:val="28"/>
          <w:szCs w:val="28"/>
        </w:rPr>
        <w:t>第三批</w:t>
      </w:r>
      <w:r w:rsidR="00105AFB" w:rsidRPr="008D79C7">
        <w:rPr>
          <w:rFonts w:hint="eastAsia"/>
          <w:sz w:val="28"/>
          <w:szCs w:val="28"/>
        </w:rPr>
        <w:t>地方标准计划。</w:t>
      </w:r>
      <w:r>
        <w:rPr>
          <w:rFonts w:hint="eastAsia"/>
          <w:sz w:val="28"/>
          <w:szCs w:val="28"/>
        </w:rPr>
        <w:t>本计划由四川省经济和信息化厅提出和归口，由四川省产品质量监督检验检测院作为牵头单位，参与了本标准的起草并承担了主要的验证工作</w:t>
      </w:r>
    </w:p>
    <w:p w:rsidR="00783D9D" w:rsidRDefault="00783D9D" w:rsidP="00783D9D">
      <w:pPr>
        <w:rPr>
          <w:sz w:val="28"/>
          <w:szCs w:val="28"/>
        </w:rPr>
      </w:pPr>
      <w:r>
        <w:rPr>
          <w:rFonts w:hint="eastAsia"/>
          <w:sz w:val="28"/>
          <w:szCs w:val="28"/>
        </w:rPr>
        <w:t>（二）制定背景</w:t>
      </w:r>
    </w:p>
    <w:p w:rsidR="00783D9D" w:rsidRDefault="00783D9D" w:rsidP="00783D9D">
      <w:pPr>
        <w:ind w:firstLineChars="200" w:firstLine="560"/>
        <w:rPr>
          <w:sz w:val="28"/>
          <w:szCs w:val="28"/>
        </w:rPr>
      </w:pPr>
      <w:r>
        <w:rPr>
          <w:rFonts w:hint="eastAsia"/>
          <w:sz w:val="28"/>
          <w:szCs w:val="28"/>
        </w:rPr>
        <w:t>四川省锂电产业的聚集</w:t>
      </w:r>
      <w:r w:rsidR="0014211F">
        <w:rPr>
          <w:rFonts w:hint="eastAsia"/>
          <w:sz w:val="28"/>
          <w:szCs w:val="28"/>
        </w:rPr>
        <w:t>和</w:t>
      </w:r>
      <w:r>
        <w:rPr>
          <w:rFonts w:hint="eastAsia"/>
          <w:sz w:val="28"/>
          <w:szCs w:val="28"/>
        </w:rPr>
        <w:t>规模效应越来越明显，已成为得国内锂电上下游产业聚集区。锂盐、正极材料和负极材料在全国占比</w:t>
      </w:r>
      <w:r>
        <w:rPr>
          <w:rFonts w:hint="eastAsia"/>
          <w:sz w:val="28"/>
          <w:szCs w:val="28"/>
        </w:rPr>
        <w:t>27.9%</w:t>
      </w:r>
      <w:r>
        <w:rPr>
          <w:rFonts w:hint="eastAsia"/>
          <w:sz w:val="28"/>
          <w:szCs w:val="28"/>
        </w:rPr>
        <w:t>、</w:t>
      </w:r>
      <w:r>
        <w:rPr>
          <w:rFonts w:hint="eastAsia"/>
          <w:sz w:val="28"/>
          <w:szCs w:val="28"/>
        </w:rPr>
        <w:t>11.8%</w:t>
      </w:r>
      <w:r>
        <w:rPr>
          <w:rFonts w:hint="eastAsia"/>
          <w:sz w:val="28"/>
          <w:szCs w:val="28"/>
        </w:rPr>
        <w:t>和</w:t>
      </w:r>
      <w:r>
        <w:rPr>
          <w:rFonts w:hint="eastAsia"/>
          <w:sz w:val="28"/>
          <w:szCs w:val="28"/>
        </w:rPr>
        <w:t>17%</w:t>
      </w:r>
      <w:r>
        <w:rPr>
          <w:rFonts w:hint="eastAsia"/>
          <w:sz w:val="28"/>
          <w:szCs w:val="28"/>
        </w:rPr>
        <w:t>。</w:t>
      </w:r>
      <w:r w:rsidRPr="00783D9D">
        <w:rPr>
          <w:rFonts w:hint="eastAsia"/>
          <w:sz w:val="28"/>
          <w:szCs w:val="28"/>
        </w:rPr>
        <w:t>锂电材料中的磁性异物来源主要是设备磨损、原料引入，为铁、铬、镍、锌的单质或化合物，磁性异物对电池性能影响很大，电极材料中残留的磁性异物尤其是直径在</w:t>
      </w:r>
      <w:r w:rsidRPr="00783D9D">
        <w:rPr>
          <w:rFonts w:hint="eastAsia"/>
          <w:sz w:val="28"/>
          <w:szCs w:val="28"/>
        </w:rPr>
        <w:t>10</w:t>
      </w:r>
      <w:r w:rsidRPr="00783D9D">
        <w:rPr>
          <w:rFonts w:hint="eastAsia"/>
          <w:sz w:val="28"/>
          <w:szCs w:val="28"/>
        </w:rPr>
        <w:t>μ</w:t>
      </w:r>
      <w:r w:rsidRPr="00783D9D">
        <w:rPr>
          <w:rFonts w:hint="eastAsia"/>
          <w:sz w:val="28"/>
          <w:szCs w:val="28"/>
        </w:rPr>
        <w:t>m</w:t>
      </w:r>
      <w:r w:rsidRPr="00783D9D">
        <w:rPr>
          <w:rFonts w:hint="eastAsia"/>
          <w:sz w:val="28"/>
          <w:szCs w:val="28"/>
        </w:rPr>
        <w:t>及以上的大颗粒磁性异物，在电池中可能会刺穿隔膜，造成短路、自放电现象，严重降低电池的安全性，因此要严格控制</w:t>
      </w:r>
      <w:r w:rsidR="0014211F">
        <w:rPr>
          <w:rFonts w:hint="eastAsia"/>
          <w:sz w:val="28"/>
          <w:szCs w:val="28"/>
        </w:rPr>
        <w:t>锂电</w:t>
      </w:r>
      <w:r w:rsidRPr="00783D9D">
        <w:rPr>
          <w:rFonts w:hint="eastAsia"/>
          <w:sz w:val="28"/>
          <w:szCs w:val="28"/>
        </w:rPr>
        <w:t>材料中磁性异物的含量。对于锂电材料中磁性颗粒分布情况的测试，目前不同企业采取了不同的取样、制样和不同的测试手段。在现有标准中仅规定了使用电感耦合等离子体发射光谱法及扫描电镜</w:t>
      </w:r>
      <w:r w:rsidRPr="00783D9D">
        <w:rPr>
          <w:rFonts w:hint="eastAsia"/>
          <w:sz w:val="28"/>
          <w:szCs w:val="28"/>
        </w:rPr>
        <w:t>-</w:t>
      </w:r>
      <w:r w:rsidRPr="00783D9D">
        <w:rPr>
          <w:rFonts w:hint="eastAsia"/>
          <w:sz w:val="28"/>
          <w:szCs w:val="28"/>
        </w:rPr>
        <w:t>能谱法测定磁性物质，但对于异</w:t>
      </w:r>
      <w:r w:rsidRPr="00783D9D">
        <w:rPr>
          <w:rFonts w:hint="eastAsia"/>
          <w:sz w:val="28"/>
          <w:szCs w:val="28"/>
        </w:rPr>
        <w:lastRenderedPageBreak/>
        <w:t>物颗粒尺寸及数量不能进行统计学分析。目前各企业对磁性颗粒的检测方法、前处理流程、计算方式均未进行统一，因此制定相应标准对规范和引导行业良性发展具有重大意义。</w:t>
      </w:r>
    </w:p>
    <w:p w:rsidR="00783D9D" w:rsidRDefault="00783D9D" w:rsidP="00783D9D">
      <w:pPr>
        <w:rPr>
          <w:sz w:val="28"/>
          <w:szCs w:val="28"/>
        </w:rPr>
      </w:pPr>
      <w:r>
        <w:rPr>
          <w:rFonts w:hint="eastAsia"/>
          <w:sz w:val="28"/>
          <w:szCs w:val="28"/>
        </w:rPr>
        <w:t>（三）起草过程</w:t>
      </w:r>
    </w:p>
    <w:p w:rsidR="00C10BC3" w:rsidRPr="008D79C7" w:rsidRDefault="00783D9D" w:rsidP="00783D9D">
      <w:pPr>
        <w:ind w:firstLineChars="200" w:firstLine="560"/>
        <w:rPr>
          <w:sz w:val="28"/>
          <w:szCs w:val="28"/>
        </w:rPr>
      </w:pPr>
      <w:r>
        <w:rPr>
          <w:rFonts w:hint="eastAsia"/>
          <w:sz w:val="28"/>
          <w:szCs w:val="28"/>
        </w:rPr>
        <w:t>在</w:t>
      </w:r>
      <w:r>
        <w:rPr>
          <w:rFonts w:hint="eastAsia"/>
          <w:sz w:val="28"/>
          <w:szCs w:val="28"/>
        </w:rPr>
        <w:t>2023</w:t>
      </w:r>
      <w:r>
        <w:rPr>
          <w:rFonts w:hint="eastAsia"/>
          <w:sz w:val="28"/>
          <w:szCs w:val="28"/>
        </w:rPr>
        <w:t>年</w:t>
      </w:r>
      <w:r>
        <w:rPr>
          <w:rFonts w:hint="eastAsia"/>
          <w:sz w:val="28"/>
          <w:szCs w:val="28"/>
        </w:rPr>
        <w:t>5</w:t>
      </w:r>
      <w:r>
        <w:rPr>
          <w:rFonts w:hint="eastAsia"/>
          <w:sz w:val="28"/>
          <w:szCs w:val="28"/>
        </w:rPr>
        <w:t>月接到四川省市场监督管理局</w:t>
      </w:r>
      <w:r w:rsidRPr="008D79C7">
        <w:rPr>
          <w:rFonts w:hint="eastAsia"/>
          <w:sz w:val="28"/>
          <w:szCs w:val="28"/>
        </w:rPr>
        <w:t>关于下达</w:t>
      </w:r>
      <w:r w:rsidRPr="008D79C7">
        <w:rPr>
          <w:rFonts w:hint="eastAsia"/>
          <w:sz w:val="28"/>
          <w:szCs w:val="28"/>
        </w:rPr>
        <w:t>2023</w:t>
      </w:r>
      <w:r w:rsidRPr="008D79C7">
        <w:rPr>
          <w:rFonts w:hint="eastAsia"/>
          <w:sz w:val="28"/>
          <w:szCs w:val="28"/>
        </w:rPr>
        <w:t>年度地方标准修订项目立项计划（第三批）的通知</w:t>
      </w:r>
      <w:proofErr w:type="gramStart"/>
      <w:r>
        <w:rPr>
          <w:rFonts w:hint="eastAsia"/>
          <w:sz w:val="28"/>
          <w:szCs w:val="28"/>
        </w:rPr>
        <w:t>》</w:t>
      </w:r>
      <w:proofErr w:type="gramEnd"/>
      <w:r>
        <w:rPr>
          <w:rFonts w:hint="eastAsia"/>
          <w:sz w:val="28"/>
          <w:szCs w:val="28"/>
        </w:rPr>
        <w:t>（</w:t>
      </w:r>
      <w:proofErr w:type="gramStart"/>
      <w:r w:rsidRPr="00783D9D">
        <w:rPr>
          <w:rFonts w:hint="eastAsia"/>
          <w:sz w:val="28"/>
          <w:szCs w:val="28"/>
        </w:rPr>
        <w:t>川市监函</w:t>
      </w:r>
      <w:proofErr w:type="gramEnd"/>
      <w:r w:rsidRPr="00783D9D">
        <w:rPr>
          <w:rFonts w:hint="eastAsia"/>
          <w:sz w:val="28"/>
          <w:szCs w:val="28"/>
        </w:rPr>
        <w:t>[</w:t>
      </w:r>
      <w:r w:rsidRPr="00783D9D">
        <w:rPr>
          <w:sz w:val="28"/>
          <w:szCs w:val="28"/>
        </w:rPr>
        <w:t>2023]208</w:t>
      </w:r>
      <w:r w:rsidRPr="00783D9D">
        <w:rPr>
          <w:rFonts w:hint="eastAsia"/>
          <w:sz w:val="28"/>
          <w:szCs w:val="28"/>
        </w:rPr>
        <w:t>号）</w:t>
      </w:r>
      <w:r>
        <w:rPr>
          <w:rFonts w:hint="eastAsia"/>
          <w:sz w:val="28"/>
          <w:szCs w:val="28"/>
        </w:rPr>
        <w:t>的正式文件后，随即开展了标准标制工作组的筹备工作。</w:t>
      </w:r>
      <w:r>
        <w:rPr>
          <w:rFonts w:hint="eastAsia"/>
          <w:sz w:val="28"/>
          <w:szCs w:val="28"/>
        </w:rPr>
        <w:t>2023</w:t>
      </w:r>
      <w:r>
        <w:rPr>
          <w:rFonts w:hint="eastAsia"/>
          <w:sz w:val="28"/>
          <w:szCs w:val="28"/>
        </w:rPr>
        <w:t>年</w:t>
      </w:r>
      <w:r>
        <w:rPr>
          <w:rFonts w:hint="eastAsia"/>
          <w:sz w:val="28"/>
          <w:szCs w:val="28"/>
        </w:rPr>
        <w:t>6</w:t>
      </w:r>
      <w:r>
        <w:rPr>
          <w:rFonts w:hint="eastAsia"/>
          <w:sz w:val="28"/>
          <w:szCs w:val="28"/>
        </w:rPr>
        <w:t>月</w:t>
      </w:r>
      <w:r>
        <w:rPr>
          <w:rFonts w:hint="eastAsia"/>
          <w:sz w:val="28"/>
          <w:szCs w:val="28"/>
        </w:rPr>
        <w:t>10</w:t>
      </w:r>
      <w:r>
        <w:rPr>
          <w:rFonts w:hint="eastAsia"/>
          <w:sz w:val="28"/>
          <w:szCs w:val="28"/>
        </w:rPr>
        <w:t>日，邀请了本标准相关各方进行了第一次工作会议。</w:t>
      </w:r>
    </w:p>
    <w:p w:rsidR="00C10BC3" w:rsidRPr="008D79C7" w:rsidRDefault="00C10BC3" w:rsidP="00C10BC3">
      <w:pPr>
        <w:pStyle w:val="a5"/>
        <w:numPr>
          <w:ilvl w:val="1"/>
          <w:numId w:val="2"/>
        </w:numPr>
        <w:ind w:firstLineChars="0"/>
        <w:rPr>
          <w:sz w:val="28"/>
          <w:szCs w:val="28"/>
        </w:rPr>
      </w:pPr>
      <w:r w:rsidRPr="008D79C7">
        <w:rPr>
          <w:rFonts w:hint="eastAsia"/>
          <w:sz w:val="28"/>
          <w:szCs w:val="28"/>
        </w:rPr>
        <w:t>主要工作过程</w:t>
      </w:r>
    </w:p>
    <w:p w:rsidR="001F0E4D" w:rsidRPr="008D79C7" w:rsidRDefault="001F0E4D" w:rsidP="00783D9D">
      <w:pPr>
        <w:ind w:firstLineChars="200" w:firstLine="560"/>
        <w:rPr>
          <w:sz w:val="28"/>
          <w:szCs w:val="28"/>
        </w:rPr>
      </w:pPr>
      <w:r w:rsidRPr="008D79C7">
        <w:rPr>
          <w:rFonts w:hint="eastAsia"/>
          <w:sz w:val="28"/>
          <w:szCs w:val="28"/>
        </w:rPr>
        <w:t>自</w:t>
      </w:r>
      <w:r w:rsidRPr="008D79C7">
        <w:rPr>
          <w:rFonts w:hint="eastAsia"/>
          <w:sz w:val="28"/>
          <w:szCs w:val="28"/>
        </w:rPr>
        <w:t>2023</w:t>
      </w:r>
      <w:r w:rsidRPr="008D79C7">
        <w:rPr>
          <w:rFonts w:hint="eastAsia"/>
          <w:sz w:val="28"/>
          <w:szCs w:val="28"/>
        </w:rPr>
        <w:t>年</w:t>
      </w:r>
      <w:r w:rsidRPr="008D79C7">
        <w:rPr>
          <w:rFonts w:hint="eastAsia"/>
          <w:sz w:val="28"/>
          <w:szCs w:val="28"/>
        </w:rPr>
        <w:t>5</w:t>
      </w:r>
      <w:r w:rsidRPr="008D79C7">
        <w:rPr>
          <w:rFonts w:hint="eastAsia"/>
          <w:sz w:val="28"/>
          <w:szCs w:val="28"/>
        </w:rPr>
        <w:t>月起，在本</w:t>
      </w:r>
      <w:proofErr w:type="gramStart"/>
      <w:r w:rsidRPr="008D79C7">
        <w:rPr>
          <w:rFonts w:hint="eastAsia"/>
          <w:sz w:val="28"/>
          <w:szCs w:val="28"/>
        </w:rPr>
        <w:t>标准获</w:t>
      </w:r>
      <w:proofErr w:type="gramEnd"/>
      <w:r w:rsidRPr="008D79C7">
        <w:rPr>
          <w:rFonts w:hint="eastAsia"/>
          <w:sz w:val="28"/>
          <w:szCs w:val="28"/>
        </w:rPr>
        <w:t>批立项后，牵头单位四川省产品质量监督检验检测院立即组建了标准编制组。编制组在</w:t>
      </w:r>
      <w:r w:rsidRPr="008D79C7">
        <w:rPr>
          <w:rFonts w:hint="eastAsia"/>
          <w:sz w:val="28"/>
          <w:szCs w:val="28"/>
        </w:rPr>
        <w:t>2023</w:t>
      </w:r>
      <w:r w:rsidRPr="008D79C7">
        <w:rPr>
          <w:rFonts w:hint="eastAsia"/>
          <w:sz w:val="28"/>
          <w:szCs w:val="28"/>
        </w:rPr>
        <w:t>年</w:t>
      </w:r>
      <w:r w:rsidRPr="008D79C7">
        <w:rPr>
          <w:rFonts w:hint="eastAsia"/>
          <w:sz w:val="28"/>
          <w:szCs w:val="28"/>
        </w:rPr>
        <w:t>8-11</w:t>
      </w:r>
      <w:r w:rsidRPr="008D79C7">
        <w:rPr>
          <w:rFonts w:hint="eastAsia"/>
          <w:sz w:val="28"/>
          <w:szCs w:val="28"/>
        </w:rPr>
        <w:t>月开展了标准验证实验工作，在</w:t>
      </w:r>
      <w:r w:rsidRPr="008D79C7">
        <w:rPr>
          <w:rFonts w:hint="eastAsia"/>
          <w:sz w:val="28"/>
          <w:szCs w:val="28"/>
        </w:rPr>
        <w:t>12</w:t>
      </w:r>
      <w:r w:rsidRPr="008D79C7">
        <w:rPr>
          <w:rFonts w:hint="eastAsia"/>
          <w:sz w:val="28"/>
          <w:szCs w:val="28"/>
        </w:rPr>
        <w:t>月完成了标准征求意见稿的编写工作。编制组采用线上与线下相结合的形式开展了多次内部的集中讨论，对标准内容进行了进一步的优化和完善，形成标准的征求意见稿。</w:t>
      </w:r>
    </w:p>
    <w:p w:rsidR="00C10BC3" w:rsidRPr="008D79C7" w:rsidRDefault="00C10BC3" w:rsidP="00C10BC3">
      <w:pPr>
        <w:pStyle w:val="a5"/>
        <w:ind w:left="360" w:firstLineChars="0" w:firstLine="0"/>
        <w:rPr>
          <w:sz w:val="28"/>
          <w:szCs w:val="28"/>
        </w:rPr>
      </w:pPr>
    </w:p>
    <w:p w:rsidR="00C10BC3" w:rsidRPr="009D5B37" w:rsidRDefault="00C10BC3" w:rsidP="009D5B37">
      <w:pPr>
        <w:pStyle w:val="a5"/>
        <w:numPr>
          <w:ilvl w:val="0"/>
          <w:numId w:val="3"/>
        </w:numPr>
        <w:ind w:firstLineChars="0"/>
        <w:rPr>
          <w:b/>
          <w:bCs/>
          <w:sz w:val="32"/>
          <w:szCs w:val="32"/>
        </w:rPr>
      </w:pPr>
      <w:r w:rsidRPr="009D5B37">
        <w:rPr>
          <w:rFonts w:hint="eastAsia"/>
          <w:b/>
          <w:bCs/>
          <w:sz w:val="32"/>
          <w:szCs w:val="32"/>
        </w:rPr>
        <w:t>标准编制原则和主要内容</w:t>
      </w:r>
    </w:p>
    <w:p w:rsidR="00C10BC3" w:rsidRPr="008D79C7" w:rsidRDefault="00C10BC3" w:rsidP="00C10BC3">
      <w:pPr>
        <w:rPr>
          <w:sz w:val="28"/>
          <w:szCs w:val="28"/>
        </w:rPr>
      </w:pPr>
      <w:r w:rsidRPr="008D79C7">
        <w:rPr>
          <w:rFonts w:hint="eastAsia"/>
          <w:sz w:val="28"/>
          <w:szCs w:val="28"/>
        </w:rPr>
        <w:t xml:space="preserve">2.1 </w:t>
      </w:r>
      <w:r w:rsidRPr="008D79C7">
        <w:rPr>
          <w:rFonts w:hint="eastAsia"/>
          <w:sz w:val="28"/>
          <w:szCs w:val="28"/>
        </w:rPr>
        <w:t>标准制定原则</w:t>
      </w:r>
    </w:p>
    <w:p w:rsidR="00F11BBB" w:rsidRDefault="009D5B37" w:rsidP="009D5B37">
      <w:pPr>
        <w:ind w:firstLineChars="202" w:firstLine="566"/>
        <w:rPr>
          <w:sz w:val="28"/>
          <w:szCs w:val="28"/>
        </w:rPr>
      </w:pPr>
      <w:r>
        <w:rPr>
          <w:rFonts w:hint="eastAsia"/>
          <w:sz w:val="28"/>
          <w:szCs w:val="28"/>
        </w:rPr>
        <w:t>本标准得编制工作遵循“统一性、协调性、适用性、一致性、规范性”的原则，本着充分体现先进性、科学性、合理性和可操作性，</w:t>
      </w:r>
      <w:r w:rsidRPr="008D79C7">
        <w:rPr>
          <w:rFonts w:hint="eastAsia"/>
          <w:sz w:val="28"/>
          <w:szCs w:val="28"/>
        </w:rPr>
        <w:t>按照</w:t>
      </w:r>
      <w:r w:rsidRPr="008D79C7">
        <w:rPr>
          <w:rFonts w:hint="eastAsia"/>
          <w:sz w:val="28"/>
          <w:szCs w:val="28"/>
        </w:rPr>
        <w:t>GB/T 1.1-2020</w:t>
      </w:r>
      <w:r w:rsidRPr="008D79C7">
        <w:rPr>
          <w:rFonts w:hint="eastAsia"/>
          <w:sz w:val="28"/>
          <w:szCs w:val="28"/>
        </w:rPr>
        <w:t>《标准化工作导则</w:t>
      </w:r>
      <w:r w:rsidRPr="008D79C7">
        <w:rPr>
          <w:rFonts w:hint="eastAsia"/>
          <w:sz w:val="28"/>
          <w:szCs w:val="28"/>
        </w:rPr>
        <w:t xml:space="preserve"> </w:t>
      </w:r>
      <w:r w:rsidRPr="008D79C7">
        <w:rPr>
          <w:rFonts w:hint="eastAsia"/>
          <w:sz w:val="28"/>
          <w:szCs w:val="28"/>
        </w:rPr>
        <w:t>第</w:t>
      </w:r>
      <w:r w:rsidRPr="008D79C7">
        <w:rPr>
          <w:rFonts w:hint="eastAsia"/>
          <w:sz w:val="28"/>
          <w:szCs w:val="28"/>
        </w:rPr>
        <w:t>1</w:t>
      </w:r>
      <w:r w:rsidRPr="008D79C7">
        <w:rPr>
          <w:rFonts w:hint="eastAsia"/>
          <w:sz w:val="28"/>
          <w:szCs w:val="28"/>
        </w:rPr>
        <w:t>部分：标准化文件的结构和起草规则》</w:t>
      </w:r>
      <w:r>
        <w:rPr>
          <w:rFonts w:hint="eastAsia"/>
          <w:sz w:val="28"/>
          <w:szCs w:val="28"/>
        </w:rPr>
        <w:t>给出的规则编写</w:t>
      </w:r>
      <w:r w:rsidR="00E14F24">
        <w:rPr>
          <w:rFonts w:hint="eastAsia"/>
          <w:sz w:val="28"/>
          <w:szCs w:val="28"/>
        </w:rPr>
        <w:t>本标准提出通过光学显微镜法对锂离子电池材料中的磁性金属颗粒进行检测的方法，具有代表性和合理性。</w:t>
      </w:r>
    </w:p>
    <w:p w:rsidR="00E14F24" w:rsidRPr="008D79C7" w:rsidRDefault="00E14F24" w:rsidP="00E14F24">
      <w:pPr>
        <w:ind w:firstLineChars="202" w:firstLine="566"/>
        <w:rPr>
          <w:sz w:val="28"/>
          <w:szCs w:val="28"/>
        </w:rPr>
      </w:pPr>
      <w:r>
        <w:rPr>
          <w:rFonts w:hint="eastAsia"/>
          <w:sz w:val="28"/>
          <w:szCs w:val="28"/>
        </w:rPr>
        <w:lastRenderedPageBreak/>
        <w:t>现有国际标准和国家标准中仅规定了使用电感耦合等离子体发射光谱法和扫描电子显微镜法测定锂电材料中磁性物质的含量及成分的方法。本标准适用范围扩展到锂离子电池用正负极材料、锂盐以及前驱</w:t>
      </w:r>
      <w:proofErr w:type="gramStart"/>
      <w:r>
        <w:rPr>
          <w:rFonts w:hint="eastAsia"/>
          <w:sz w:val="28"/>
          <w:szCs w:val="28"/>
        </w:rPr>
        <w:t>体材</w:t>
      </w:r>
      <w:proofErr w:type="gramEnd"/>
      <w:r>
        <w:rPr>
          <w:rFonts w:hint="eastAsia"/>
          <w:sz w:val="28"/>
          <w:szCs w:val="28"/>
        </w:rPr>
        <w:t>料，并且规范了光学显微镜法测定磁性金属颗粒的前处理流程以及统计方法，给行业提供参考。</w:t>
      </w:r>
    </w:p>
    <w:p w:rsidR="00C10BC3" w:rsidRPr="008D79C7" w:rsidRDefault="00C10BC3" w:rsidP="00C10BC3">
      <w:pPr>
        <w:rPr>
          <w:sz w:val="28"/>
          <w:szCs w:val="28"/>
        </w:rPr>
      </w:pPr>
      <w:r w:rsidRPr="008D79C7">
        <w:rPr>
          <w:rFonts w:hint="eastAsia"/>
          <w:sz w:val="28"/>
          <w:szCs w:val="28"/>
        </w:rPr>
        <w:t>2.2</w:t>
      </w:r>
      <w:r w:rsidRPr="008D79C7">
        <w:rPr>
          <w:rFonts w:hint="eastAsia"/>
          <w:sz w:val="28"/>
          <w:szCs w:val="28"/>
        </w:rPr>
        <w:t>标准主要内容</w:t>
      </w:r>
    </w:p>
    <w:p w:rsidR="005B7ECF" w:rsidRDefault="009E3CB4" w:rsidP="005B7ECF">
      <w:pPr>
        <w:ind w:firstLineChars="202" w:firstLine="566"/>
        <w:rPr>
          <w:sz w:val="28"/>
          <w:szCs w:val="28"/>
        </w:rPr>
      </w:pPr>
      <w:r w:rsidRPr="008D79C7">
        <w:rPr>
          <w:rFonts w:hint="eastAsia"/>
          <w:sz w:val="28"/>
          <w:szCs w:val="28"/>
        </w:rPr>
        <w:t>本标准适用于</w:t>
      </w:r>
      <w:proofErr w:type="gramStart"/>
      <w:r w:rsidRPr="008D79C7">
        <w:rPr>
          <w:rFonts w:hint="eastAsia"/>
          <w:sz w:val="28"/>
          <w:szCs w:val="28"/>
        </w:rPr>
        <w:t>锂</w:t>
      </w:r>
      <w:proofErr w:type="gramEnd"/>
      <w:r w:rsidRPr="008D79C7">
        <w:rPr>
          <w:rFonts w:hint="eastAsia"/>
          <w:sz w:val="28"/>
          <w:szCs w:val="28"/>
        </w:rPr>
        <w:t>离子电池正极材料、负极材料、锂盐及前驱</w:t>
      </w:r>
      <w:proofErr w:type="gramStart"/>
      <w:r w:rsidRPr="008D79C7">
        <w:rPr>
          <w:rFonts w:hint="eastAsia"/>
          <w:sz w:val="28"/>
          <w:szCs w:val="28"/>
        </w:rPr>
        <w:t>体材</w:t>
      </w:r>
      <w:proofErr w:type="gramEnd"/>
      <w:r w:rsidRPr="008D79C7">
        <w:rPr>
          <w:rFonts w:hint="eastAsia"/>
          <w:sz w:val="28"/>
          <w:szCs w:val="28"/>
        </w:rPr>
        <w:t>料，通过光学显微镜测定材料中</w:t>
      </w:r>
      <w:r w:rsidRPr="008D79C7">
        <w:rPr>
          <w:rFonts w:hint="eastAsia"/>
          <w:sz w:val="28"/>
          <w:szCs w:val="28"/>
        </w:rPr>
        <w:t>25</w:t>
      </w:r>
      <w:r w:rsidRPr="008D79C7">
        <w:rPr>
          <w:rFonts w:hint="eastAsia"/>
          <w:sz w:val="28"/>
          <w:szCs w:val="28"/>
        </w:rPr>
        <w:t>微米以上的磁性金属颗粒的数量及尺寸。</w:t>
      </w:r>
      <w:r w:rsidR="00F7733C">
        <w:rPr>
          <w:sz w:val="28"/>
          <w:szCs w:val="28"/>
        </w:rPr>
        <w:t>在本标准中</w:t>
      </w:r>
      <w:r w:rsidR="005B7ECF">
        <w:rPr>
          <w:sz w:val="28"/>
          <w:szCs w:val="28"/>
        </w:rPr>
        <w:t>对于样品的前处理包含了：称样、磁棒塑封、滚筒吸附、磁性颗粒提取、酸洗</w:t>
      </w:r>
      <w:r w:rsidR="005B7ECF">
        <w:rPr>
          <w:rFonts w:hint="eastAsia"/>
          <w:sz w:val="28"/>
          <w:szCs w:val="28"/>
        </w:rPr>
        <w:t>等</w:t>
      </w:r>
      <w:r w:rsidR="005B7ECF">
        <w:rPr>
          <w:sz w:val="28"/>
          <w:szCs w:val="28"/>
        </w:rPr>
        <w:t>步骤，</w:t>
      </w:r>
      <w:r w:rsidR="005B7ECF">
        <w:rPr>
          <w:rFonts w:hint="eastAsia"/>
          <w:sz w:val="28"/>
          <w:szCs w:val="28"/>
        </w:rPr>
        <w:t>其中</w:t>
      </w:r>
      <w:r w:rsidR="005B7ECF">
        <w:rPr>
          <w:sz w:val="28"/>
          <w:szCs w:val="28"/>
        </w:rPr>
        <w:t>试验所用到的磁铁磁通量、滚动吸附条件、吸附的次数会对测试结果有重要影响，所以选择这几个条件进行条件摸索和验证。</w:t>
      </w:r>
      <w:r w:rsidR="005B7ECF">
        <w:rPr>
          <w:rFonts w:hint="eastAsia"/>
          <w:sz w:val="28"/>
          <w:szCs w:val="28"/>
        </w:rPr>
        <w:t>在标准起草过程中使用到的材料包括：磷酸铁锂、三元材料、石墨、氢氧化锂及碳酸锂，覆盖到了锂电正负极材料及其原材料。标准试验使用的材料均来自于国内锂电材料生产企业。</w:t>
      </w:r>
    </w:p>
    <w:p w:rsidR="008D79C7" w:rsidRDefault="008D79C7" w:rsidP="00C10BC3">
      <w:pPr>
        <w:rPr>
          <w:sz w:val="28"/>
          <w:szCs w:val="28"/>
        </w:rPr>
      </w:pPr>
      <w:r>
        <w:rPr>
          <w:rFonts w:hint="eastAsia"/>
          <w:sz w:val="28"/>
          <w:szCs w:val="28"/>
        </w:rPr>
        <w:t>2.2.1</w:t>
      </w:r>
      <w:r>
        <w:rPr>
          <w:sz w:val="28"/>
          <w:szCs w:val="28"/>
        </w:rPr>
        <w:t xml:space="preserve"> </w:t>
      </w:r>
      <w:r>
        <w:rPr>
          <w:rFonts w:hint="eastAsia"/>
          <w:sz w:val="28"/>
          <w:szCs w:val="28"/>
        </w:rPr>
        <w:t>吸附磁铁磁通量</w:t>
      </w:r>
    </w:p>
    <w:p w:rsidR="000363E1" w:rsidRDefault="005B7ECF" w:rsidP="009D5B37">
      <w:pPr>
        <w:ind w:firstLineChars="202" w:firstLine="566"/>
        <w:rPr>
          <w:sz w:val="28"/>
          <w:szCs w:val="28"/>
        </w:rPr>
      </w:pPr>
      <w:r w:rsidRPr="008D79C7">
        <w:rPr>
          <w:rFonts w:hint="eastAsia"/>
          <w:sz w:val="28"/>
          <w:szCs w:val="28"/>
        </w:rPr>
        <w:t>规定了吸附磁性金属颗粒过程中</w:t>
      </w:r>
      <w:r>
        <w:rPr>
          <w:rFonts w:hint="eastAsia"/>
          <w:sz w:val="28"/>
          <w:szCs w:val="28"/>
        </w:rPr>
        <w:t>吸附磁铁的磁通量：在本部</w:t>
      </w:r>
      <w:proofErr w:type="gramStart"/>
      <w:r>
        <w:rPr>
          <w:rFonts w:hint="eastAsia"/>
          <w:sz w:val="28"/>
          <w:szCs w:val="28"/>
        </w:rPr>
        <w:t>分选择</w:t>
      </w:r>
      <w:proofErr w:type="gramEnd"/>
      <w:r>
        <w:rPr>
          <w:rFonts w:hint="eastAsia"/>
          <w:sz w:val="28"/>
          <w:szCs w:val="28"/>
        </w:rPr>
        <w:t>了磷酸铁锂、碳酸锂及氢氧化锂三种材料进行了试验，</w:t>
      </w:r>
      <w:r w:rsidR="004366CD">
        <w:rPr>
          <w:rFonts w:hint="eastAsia"/>
          <w:sz w:val="28"/>
          <w:szCs w:val="28"/>
        </w:rPr>
        <w:t>设置了</w:t>
      </w:r>
      <w:r w:rsidR="004366CD">
        <w:rPr>
          <w:rFonts w:hint="eastAsia"/>
          <w:sz w:val="28"/>
          <w:szCs w:val="28"/>
        </w:rPr>
        <w:t>5000</w:t>
      </w:r>
      <w:r w:rsidR="004366CD">
        <w:rPr>
          <w:sz w:val="28"/>
          <w:szCs w:val="28"/>
        </w:rPr>
        <w:t>GS</w:t>
      </w:r>
      <w:r w:rsidR="004366CD">
        <w:rPr>
          <w:rFonts w:hint="eastAsia"/>
          <w:sz w:val="28"/>
          <w:szCs w:val="28"/>
        </w:rPr>
        <w:t>、</w:t>
      </w:r>
      <w:r w:rsidR="004366CD">
        <w:rPr>
          <w:rFonts w:hint="eastAsia"/>
          <w:sz w:val="28"/>
          <w:szCs w:val="28"/>
        </w:rPr>
        <w:t>6000</w:t>
      </w:r>
      <w:r w:rsidR="004366CD">
        <w:rPr>
          <w:sz w:val="28"/>
          <w:szCs w:val="28"/>
        </w:rPr>
        <w:t>GS</w:t>
      </w:r>
      <w:r w:rsidR="004366CD">
        <w:rPr>
          <w:rFonts w:hint="eastAsia"/>
          <w:sz w:val="28"/>
          <w:szCs w:val="28"/>
        </w:rPr>
        <w:t>、</w:t>
      </w:r>
      <w:r w:rsidR="004366CD">
        <w:rPr>
          <w:rFonts w:hint="eastAsia"/>
          <w:sz w:val="28"/>
          <w:szCs w:val="28"/>
        </w:rPr>
        <w:t>7000</w:t>
      </w:r>
      <w:r w:rsidR="004366CD">
        <w:rPr>
          <w:sz w:val="28"/>
          <w:szCs w:val="28"/>
        </w:rPr>
        <w:t>GS</w:t>
      </w:r>
      <w:r w:rsidR="004366CD">
        <w:rPr>
          <w:rFonts w:hint="eastAsia"/>
          <w:sz w:val="28"/>
          <w:szCs w:val="28"/>
        </w:rPr>
        <w:t>以及</w:t>
      </w:r>
      <w:r w:rsidR="004366CD">
        <w:rPr>
          <w:rFonts w:hint="eastAsia"/>
          <w:sz w:val="28"/>
          <w:szCs w:val="28"/>
        </w:rPr>
        <w:t>12000</w:t>
      </w:r>
      <w:r w:rsidR="004366CD">
        <w:rPr>
          <w:sz w:val="28"/>
          <w:szCs w:val="28"/>
        </w:rPr>
        <w:t>GS</w:t>
      </w:r>
      <w:r>
        <w:rPr>
          <w:rFonts w:hint="eastAsia"/>
          <w:sz w:val="28"/>
          <w:szCs w:val="28"/>
        </w:rPr>
        <w:t>的磁通量</w:t>
      </w:r>
      <w:r w:rsidR="004366CD">
        <w:rPr>
          <w:rFonts w:hint="eastAsia"/>
          <w:sz w:val="28"/>
          <w:szCs w:val="28"/>
        </w:rPr>
        <w:t>进行吸附，通过对比试验可以得出，随着磁通量上升吸附的颗粒数逐步上升。</w:t>
      </w:r>
      <w:r w:rsidR="00E95E73">
        <w:rPr>
          <w:rFonts w:hint="eastAsia"/>
          <w:sz w:val="28"/>
          <w:szCs w:val="28"/>
        </w:rPr>
        <w:t>但是在试验中发现，部分磷酸铁锂样品中含有部分弱磁性的磷化铁，在检测磷酸铁锂时，</w:t>
      </w:r>
      <w:r w:rsidR="00E95E73">
        <w:rPr>
          <w:rFonts w:hint="eastAsia"/>
          <w:sz w:val="28"/>
          <w:szCs w:val="28"/>
        </w:rPr>
        <w:t>7000GS</w:t>
      </w:r>
      <w:r w:rsidR="00E95E73">
        <w:rPr>
          <w:rFonts w:hint="eastAsia"/>
          <w:sz w:val="28"/>
          <w:szCs w:val="28"/>
        </w:rPr>
        <w:t>以上（含）的磁铁会将磷化铁吸附，影响后续清</w:t>
      </w:r>
      <w:r w:rsidR="00E95E73">
        <w:rPr>
          <w:rFonts w:hint="eastAsia"/>
          <w:sz w:val="28"/>
          <w:szCs w:val="28"/>
        </w:rPr>
        <w:lastRenderedPageBreak/>
        <w:t>洗和过滤效果，所以在标准中我们选择使用</w:t>
      </w:r>
      <w:r w:rsidR="00E95E73">
        <w:rPr>
          <w:rFonts w:hint="eastAsia"/>
          <w:sz w:val="28"/>
          <w:szCs w:val="28"/>
        </w:rPr>
        <w:t>6000Gs</w:t>
      </w:r>
      <w:r w:rsidR="00E95E73">
        <w:rPr>
          <w:rFonts w:hint="eastAsia"/>
          <w:sz w:val="28"/>
          <w:szCs w:val="28"/>
        </w:rPr>
        <w:t>以上的磁铁，使用者可根据具体测试的材料类型来选择磁铁磁通量。</w:t>
      </w:r>
    </w:p>
    <w:p w:rsidR="004366CD" w:rsidRPr="008D79C7" w:rsidRDefault="00C33FC7" w:rsidP="00291A1C">
      <w:pPr>
        <w:jc w:val="center"/>
        <w:rPr>
          <w:sz w:val="28"/>
          <w:szCs w:val="28"/>
        </w:rPr>
      </w:pPr>
      <w:r w:rsidRPr="00C33FC7">
        <w:rPr>
          <w:noProof/>
        </w:rPr>
        <w:drawing>
          <wp:inline distT="0" distB="0" distL="0" distR="0">
            <wp:extent cx="4464279" cy="2648086"/>
            <wp:effectExtent l="0" t="0" r="0" b="0"/>
            <wp:docPr id="18640154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401540" name=""/>
                    <pic:cNvPicPr/>
                  </pic:nvPicPr>
                  <pic:blipFill>
                    <a:blip r:embed="rId7" cstate="print"/>
                    <a:stretch>
                      <a:fillRect/>
                    </a:stretch>
                  </pic:blipFill>
                  <pic:spPr>
                    <a:xfrm>
                      <a:off x="0" y="0"/>
                      <a:ext cx="4464279" cy="2648086"/>
                    </a:xfrm>
                    <a:prstGeom prst="rect">
                      <a:avLst/>
                    </a:prstGeom>
                  </pic:spPr>
                </pic:pic>
              </a:graphicData>
            </a:graphic>
          </wp:inline>
        </w:drawing>
      </w:r>
    </w:p>
    <w:p w:rsidR="000363E1" w:rsidRPr="008D79C7" w:rsidRDefault="008D79C7" w:rsidP="00C10BC3">
      <w:pPr>
        <w:rPr>
          <w:sz w:val="28"/>
          <w:szCs w:val="28"/>
        </w:rPr>
      </w:pPr>
      <w:r>
        <w:rPr>
          <w:rFonts w:hint="eastAsia"/>
          <w:sz w:val="28"/>
          <w:szCs w:val="28"/>
        </w:rPr>
        <w:t>2.2.2</w:t>
      </w:r>
      <w:r>
        <w:rPr>
          <w:sz w:val="28"/>
          <w:szCs w:val="28"/>
        </w:rPr>
        <w:t xml:space="preserve"> </w:t>
      </w:r>
      <w:r>
        <w:rPr>
          <w:rFonts w:hint="eastAsia"/>
          <w:sz w:val="28"/>
          <w:szCs w:val="28"/>
        </w:rPr>
        <w:t>吸附滚动条件</w:t>
      </w:r>
    </w:p>
    <w:p w:rsidR="000363E1" w:rsidRDefault="004C3C60" w:rsidP="009D5B37">
      <w:pPr>
        <w:ind w:firstLineChars="202" w:firstLine="424"/>
        <w:rPr>
          <w:sz w:val="28"/>
          <w:szCs w:val="28"/>
        </w:rPr>
      </w:pPr>
      <w:r>
        <w:rPr>
          <w:noProof/>
        </w:rPr>
        <w:drawing>
          <wp:anchor distT="0" distB="0" distL="114300" distR="114300" simplePos="0" relativeHeight="251659776" behindDoc="0" locked="0" layoutInCell="1" allowOverlap="1">
            <wp:simplePos x="0" y="0"/>
            <wp:positionH relativeFrom="column">
              <wp:posOffset>2747645</wp:posOffset>
            </wp:positionH>
            <wp:positionV relativeFrom="paragraph">
              <wp:posOffset>2839720</wp:posOffset>
            </wp:positionV>
            <wp:extent cx="2845435" cy="1688465"/>
            <wp:effectExtent l="19050" t="0" r="0" b="0"/>
            <wp:wrapTopAndBottom/>
            <wp:docPr id="70584416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5844169" name=""/>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2845435" cy="1688465"/>
                    </a:xfrm>
                    <a:prstGeom prst="rect">
                      <a:avLst/>
                    </a:prstGeom>
                  </pic:spPr>
                </pic:pic>
              </a:graphicData>
            </a:graphic>
          </wp:anchor>
        </w:drawing>
      </w:r>
      <w:r>
        <w:rPr>
          <w:noProof/>
        </w:rPr>
        <w:drawing>
          <wp:anchor distT="0" distB="0" distL="114300" distR="114300" simplePos="0" relativeHeight="251657728" behindDoc="0" locked="0" layoutInCell="1" allowOverlap="1">
            <wp:simplePos x="0" y="0"/>
            <wp:positionH relativeFrom="column">
              <wp:posOffset>-4445</wp:posOffset>
            </wp:positionH>
            <wp:positionV relativeFrom="paragraph">
              <wp:posOffset>2867025</wp:posOffset>
            </wp:positionV>
            <wp:extent cx="2751455" cy="1660525"/>
            <wp:effectExtent l="19050" t="0" r="0" b="0"/>
            <wp:wrapTopAndBottom/>
            <wp:docPr id="63816901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8169016" name=""/>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2751455" cy="1660525"/>
                    </a:xfrm>
                    <a:prstGeom prst="rect">
                      <a:avLst/>
                    </a:prstGeom>
                  </pic:spPr>
                </pic:pic>
              </a:graphicData>
            </a:graphic>
          </wp:anchor>
        </w:drawing>
      </w:r>
      <w:r w:rsidR="00537F78" w:rsidRPr="008D79C7">
        <w:rPr>
          <w:rFonts w:hint="eastAsia"/>
          <w:sz w:val="28"/>
          <w:szCs w:val="28"/>
        </w:rPr>
        <w:t>规定了吸附磁性金属颗粒过程</w:t>
      </w:r>
      <w:proofErr w:type="gramStart"/>
      <w:r w:rsidR="00537F78" w:rsidRPr="008D79C7">
        <w:rPr>
          <w:rFonts w:hint="eastAsia"/>
          <w:sz w:val="28"/>
          <w:szCs w:val="28"/>
        </w:rPr>
        <w:t>中辊机的</w:t>
      </w:r>
      <w:proofErr w:type="gramEnd"/>
      <w:r w:rsidR="00537F78" w:rsidRPr="008D79C7">
        <w:rPr>
          <w:rFonts w:hint="eastAsia"/>
          <w:sz w:val="28"/>
          <w:szCs w:val="28"/>
        </w:rPr>
        <w:t>滚动参数：</w:t>
      </w:r>
      <w:r w:rsidR="00537F78">
        <w:rPr>
          <w:rFonts w:hint="eastAsia"/>
          <w:sz w:val="28"/>
          <w:szCs w:val="28"/>
        </w:rPr>
        <w:t>选择石墨和磷酸铁</w:t>
      </w:r>
      <w:proofErr w:type="gramStart"/>
      <w:r w:rsidR="00537F78">
        <w:rPr>
          <w:rFonts w:hint="eastAsia"/>
          <w:sz w:val="28"/>
          <w:szCs w:val="28"/>
        </w:rPr>
        <w:t>锂两种</w:t>
      </w:r>
      <w:proofErr w:type="gramEnd"/>
      <w:r w:rsidR="00537F78">
        <w:rPr>
          <w:rFonts w:hint="eastAsia"/>
          <w:sz w:val="28"/>
          <w:szCs w:val="28"/>
        </w:rPr>
        <w:t>材料，</w:t>
      </w:r>
      <w:r w:rsidR="00537F78" w:rsidRPr="008D79C7">
        <w:rPr>
          <w:rFonts w:hint="eastAsia"/>
          <w:sz w:val="28"/>
          <w:szCs w:val="28"/>
        </w:rPr>
        <w:t>设置了筒速</w:t>
      </w:r>
      <w:r w:rsidR="00537F78" w:rsidRPr="008D79C7">
        <w:rPr>
          <w:rFonts w:hint="eastAsia"/>
          <w:sz w:val="28"/>
          <w:szCs w:val="28"/>
        </w:rPr>
        <w:t>40r</w:t>
      </w:r>
      <w:r w:rsidR="00537F78" w:rsidRPr="008D79C7">
        <w:rPr>
          <w:sz w:val="28"/>
          <w:szCs w:val="28"/>
        </w:rPr>
        <w:t>/</w:t>
      </w:r>
      <w:r w:rsidR="00537F78" w:rsidRPr="008D79C7">
        <w:rPr>
          <w:rFonts w:hint="eastAsia"/>
          <w:sz w:val="28"/>
          <w:szCs w:val="28"/>
        </w:rPr>
        <w:t>min</w:t>
      </w:r>
      <w:r w:rsidR="00537F78" w:rsidRPr="008D79C7">
        <w:rPr>
          <w:rFonts w:hint="eastAsia"/>
          <w:sz w:val="28"/>
          <w:szCs w:val="28"/>
        </w:rPr>
        <w:t>、</w:t>
      </w:r>
      <w:r w:rsidR="00537F78" w:rsidRPr="008D79C7">
        <w:rPr>
          <w:rFonts w:hint="eastAsia"/>
          <w:sz w:val="28"/>
          <w:szCs w:val="28"/>
        </w:rPr>
        <w:t>60r/min</w:t>
      </w:r>
      <w:r w:rsidR="00537F78" w:rsidRPr="008D79C7">
        <w:rPr>
          <w:rFonts w:hint="eastAsia"/>
          <w:sz w:val="28"/>
          <w:szCs w:val="28"/>
        </w:rPr>
        <w:t>和</w:t>
      </w:r>
      <w:r w:rsidR="00537F78" w:rsidRPr="008D79C7">
        <w:rPr>
          <w:rFonts w:hint="eastAsia"/>
          <w:sz w:val="28"/>
          <w:szCs w:val="28"/>
        </w:rPr>
        <w:t>80r</w:t>
      </w:r>
      <w:r w:rsidR="00537F78" w:rsidRPr="008D79C7">
        <w:rPr>
          <w:sz w:val="28"/>
          <w:szCs w:val="28"/>
        </w:rPr>
        <w:t>/</w:t>
      </w:r>
      <w:r w:rsidR="00537F78" w:rsidRPr="008D79C7">
        <w:rPr>
          <w:rFonts w:hint="eastAsia"/>
          <w:sz w:val="28"/>
          <w:szCs w:val="28"/>
        </w:rPr>
        <w:t>min</w:t>
      </w:r>
      <w:r w:rsidR="00537F78" w:rsidRPr="008D79C7">
        <w:rPr>
          <w:rFonts w:hint="eastAsia"/>
          <w:sz w:val="28"/>
          <w:szCs w:val="28"/>
        </w:rPr>
        <w:t>，滚动时间设置</w:t>
      </w:r>
      <w:r w:rsidR="00537F78" w:rsidRPr="008D79C7">
        <w:rPr>
          <w:rFonts w:hint="eastAsia"/>
          <w:sz w:val="28"/>
          <w:szCs w:val="28"/>
        </w:rPr>
        <w:t>15min</w:t>
      </w:r>
      <w:r w:rsidR="00537F78" w:rsidRPr="008D79C7">
        <w:rPr>
          <w:rFonts w:hint="eastAsia"/>
          <w:sz w:val="28"/>
          <w:szCs w:val="28"/>
        </w:rPr>
        <w:t>、</w:t>
      </w:r>
      <w:r w:rsidR="00537F78" w:rsidRPr="008D79C7">
        <w:rPr>
          <w:rFonts w:hint="eastAsia"/>
          <w:sz w:val="28"/>
          <w:szCs w:val="28"/>
        </w:rPr>
        <w:t>30min</w:t>
      </w:r>
      <w:r w:rsidR="00537F78" w:rsidRPr="008D79C7">
        <w:rPr>
          <w:rFonts w:hint="eastAsia"/>
          <w:sz w:val="28"/>
          <w:szCs w:val="28"/>
        </w:rPr>
        <w:t>、</w:t>
      </w:r>
      <w:r w:rsidR="00537F78" w:rsidRPr="008D79C7">
        <w:rPr>
          <w:rFonts w:hint="eastAsia"/>
          <w:sz w:val="28"/>
          <w:szCs w:val="28"/>
        </w:rPr>
        <w:t>60min</w:t>
      </w:r>
      <w:r w:rsidR="00537F78" w:rsidRPr="008D79C7">
        <w:rPr>
          <w:rFonts w:hint="eastAsia"/>
          <w:sz w:val="28"/>
          <w:szCs w:val="28"/>
        </w:rPr>
        <w:t>。通过对比试验可以得到，在筒速</w:t>
      </w:r>
      <w:r w:rsidR="00537F78" w:rsidRPr="008D79C7">
        <w:rPr>
          <w:rFonts w:hint="eastAsia"/>
          <w:sz w:val="28"/>
          <w:szCs w:val="28"/>
        </w:rPr>
        <w:t>60r</w:t>
      </w:r>
      <w:r w:rsidR="00537F78" w:rsidRPr="008D79C7">
        <w:rPr>
          <w:sz w:val="28"/>
          <w:szCs w:val="28"/>
        </w:rPr>
        <w:t>/</w:t>
      </w:r>
      <w:r w:rsidR="00537F78" w:rsidRPr="008D79C7">
        <w:rPr>
          <w:rFonts w:hint="eastAsia"/>
          <w:sz w:val="28"/>
          <w:szCs w:val="28"/>
        </w:rPr>
        <w:t>min</w:t>
      </w:r>
      <w:r w:rsidR="00537F78">
        <w:rPr>
          <w:rFonts w:hint="eastAsia"/>
          <w:sz w:val="28"/>
          <w:szCs w:val="28"/>
        </w:rPr>
        <w:t>条件下滚动吸附效果最好。石墨样品吸附</w:t>
      </w:r>
      <w:r w:rsidR="00537F78">
        <w:rPr>
          <w:rFonts w:hint="eastAsia"/>
          <w:sz w:val="28"/>
          <w:szCs w:val="28"/>
        </w:rPr>
        <w:t>15min</w:t>
      </w:r>
      <w:r w:rsidR="00537F78">
        <w:rPr>
          <w:rFonts w:hint="eastAsia"/>
          <w:sz w:val="28"/>
          <w:szCs w:val="28"/>
        </w:rPr>
        <w:t>效果最好，磷酸</w:t>
      </w:r>
      <w:proofErr w:type="gramStart"/>
      <w:r w:rsidR="00537F78">
        <w:rPr>
          <w:rFonts w:hint="eastAsia"/>
          <w:sz w:val="28"/>
          <w:szCs w:val="28"/>
        </w:rPr>
        <w:t>铁锂随滚动</w:t>
      </w:r>
      <w:proofErr w:type="gramEnd"/>
      <w:r w:rsidR="00537F78">
        <w:rPr>
          <w:rFonts w:hint="eastAsia"/>
          <w:sz w:val="28"/>
          <w:szCs w:val="28"/>
        </w:rPr>
        <w:t>时间越长，吸附量逐渐升高，然而在</w:t>
      </w:r>
      <w:r w:rsidR="00537F78">
        <w:rPr>
          <w:rFonts w:hint="eastAsia"/>
          <w:sz w:val="28"/>
          <w:szCs w:val="28"/>
        </w:rPr>
        <w:t>30min</w:t>
      </w:r>
      <w:r w:rsidR="00537F78">
        <w:rPr>
          <w:rFonts w:hint="eastAsia"/>
          <w:sz w:val="28"/>
          <w:szCs w:val="28"/>
        </w:rPr>
        <w:t>和</w:t>
      </w:r>
      <w:r w:rsidR="00537F78">
        <w:rPr>
          <w:rFonts w:hint="eastAsia"/>
          <w:sz w:val="28"/>
          <w:szCs w:val="28"/>
        </w:rPr>
        <w:t>60min</w:t>
      </w:r>
      <w:r w:rsidR="00537F78">
        <w:rPr>
          <w:rFonts w:hint="eastAsia"/>
          <w:sz w:val="28"/>
          <w:szCs w:val="28"/>
        </w:rPr>
        <w:t>条件下均因滚动时间过长产生了热缩管破损的情况，考虑到在测试中会多次吸附，所以选择筒速</w:t>
      </w:r>
      <w:r w:rsidR="00537F78" w:rsidRPr="008D79C7">
        <w:rPr>
          <w:rFonts w:hint="eastAsia"/>
          <w:sz w:val="28"/>
          <w:szCs w:val="28"/>
        </w:rPr>
        <w:t>60r</w:t>
      </w:r>
      <w:r w:rsidR="00537F78" w:rsidRPr="008D79C7">
        <w:rPr>
          <w:sz w:val="28"/>
          <w:szCs w:val="28"/>
        </w:rPr>
        <w:t>/</w:t>
      </w:r>
      <w:r w:rsidR="00537F78" w:rsidRPr="008D79C7">
        <w:rPr>
          <w:rFonts w:hint="eastAsia"/>
          <w:sz w:val="28"/>
          <w:szCs w:val="28"/>
        </w:rPr>
        <w:t>min</w:t>
      </w:r>
      <w:r w:rsidR="00537F78">
        <w:rPr>
          <w:rFonts w:hint="eastAsia"/>
          <w:sz w:val="28"/>
          <w:szCs w:val="28"/>
        </w:rPr>
        <w:t>、时间</w:t>
      </w:r>
      <w:r w:rsidR="00537F78">
        <w:rPr>
          <w:rFonts w:hint="eastAsia"/>
          <w:sz w:val="28"/>
          <w:szCs w:val="28"/>
        </w:rPr>
        <w:t>15min</w:t>
      </w:r>
      <w:r w:rsidR="00537F78">
        <w:rPr>
          <w:rFonts w:hint="eastAsia"/>
          <w:sz w:val="28"/>
          <w:szCs w:val="28"/>
        </w:rPr>
        <w:t>。</w:t>
      </w:r>
    </w:p>
    <w:p w:rsidR="007E0B45" w:rsidRDefault="007E0B45" w:rsidP="007E0B45">
      <w:pPr>
        <w:jc w:val="left"/>
        <w:rPr>
          <w:sz w:val="28"/>
          <w:szCs w:val="28"/>
        </w:rPr>
      </w:pPr>
      <w:r>
        <w:rPr>
          <w:rFonts w:hint="eastAsia"/>
          <w:sz w:val="28"/>
          <w:szCs w:val="28"/>
        </w:rPr>
        <w:lastRenderedPageBreak/>
        <w:t>2.2.3</w:t>
      </w:r>
      <w:r>
        <w:rPr>
          <w:sz w:val="28"/>
          <w:szCs w:val="28"/>
        </w:rPr>
        <w:t xml:space="preserve"> </w:t>
      </w:r>
      <w:r>
        <w:rPr>
          <w:rFonts w:hint="eastAsia"/>
          <w:sz w:val="28"/>
          <w:szCs w:val="28"/>
        </w:rPr>
        <w:t>外置磁铁磁通量</w:t>
      </w:r>
    </w:p>
    <w:p w:rsidR="000E484B" w:rsidRDefault="000E484B" w:rsidP="009D5B37">
      <w:pPr>
        <w:ind w:firstLineChars="202" w:firstLine="566"/>
        <w:rPr>
          <w:sz w:val="28"/>
          <w:szCs w:val="28"/>
        </w:rPr>
      </w:pPr>
      <w:r>
        <w:rPr>
          <w:rFonts w:hint="eastAsia"/>
          <w:sz w:val="28"/>
          <w:szCs w:val="28"/>
        </w:rPr>
        <w:t>选择</w:t>
      </w:r>
      <w:r>
        <w:rPr>
          <w:rFonts w:hint="eastAsia"/>
          <w:sz w:val="28"/>
          <w:szCs w:val="28"/>
        </w:rPr>
        <w:t>4500</w:t>
      </w:r>
      <w:r>
        <w:rPr>
          <w:sz w:val="28"/>
          <w:szCs w:val="28"/>
        </w:rPr>
        <w:t>GS</w:t>
      </w:r>
      <w:r>
        <w:rPr>
          <w:rFonts w:hint="eastAsia"/>
          <w:sz w:val="28"/>
          <w:szCs w:val="28"/>
        </w:rPr>
        <w:t>-8500</w:t>
      </w:r>
      <w:r>
        <w:rPr>
          <w:sz w:val="28"/>
          <w:szCs w:val="28"/>
        </w:rPr>
        <w:t>GS</w:t>
      </w:r>
      <w:r>
        <w:rPr>
          <w:rFonts w:hint="eastAsia"/>
          <w:sz w:val="28"/>
          <w:szCs w:val="28"/>
        </w:rPr>
        <w:t>范围的外置磁铁对样品进行颗粒提取，通过对比实验得出</w:t>
      </w:r>
      <w:r>
        <w:rPr>
          <w:rFonts w:hint="eastAsia"/>
          <w:sz w:val="28"/>
          <w:szCs w:val="28"/>
        </w:rPr>
        <w:t>4500-7500</w:t>
      </w:r>
      <w:r>
        <w:rPr>
          <w:sz w:val="28"/>
          <w:szCs w:val="28"/>
        </w:rPr>
        <w:t>GS</w:t>
      </w:r>
      <w:r>
        <w:rPr>
          <w:rFonts w:hint="eastAsia"/>
          <w:sz w:val="28"/>
          <w:szCs w:val="28"/>
        </w:rPr>
        <w:t>范围磁棒</w:t>
      </w:r>
      <w:r w:rsidR="009D5B37">
        <w:rPr>
          <w:rFonts w:hint="eastAsia"/>
          <w:sz w:val="28"/>
          <w:szCs w:val="28"/>
        </w:rPr>
        <w:t>均</w:t>
      </w:r>
      <w:r>
        <w:rPr>
          <w:rFonts w:hint="eastAsia"/>
          <w:sz w:val="28"/>
          <w:szCs w:val="28"/>
        </w:rPr>
        <w:t>的达到较高提取率</w:t>
      </w:r>
      <w:r w:rsidR="008A5735">
        <w:rPr>
          <w:rFonts w:hint="eastAsia"/>
          <w:sz w:val="28"/>
          <w:szCs w:val="28"/>
        </w:rPr>
        <w:t>，故在标准中选取</w:t>
      </w:r>
      <w:r>
        <w:rPr>
          <w:rFonts w:hint="eastAsia"/>
          <w:sz w:val="28"/>
          <w:szCs w:val="28"/>
        </w:rPr>
        <w:t>6000</w:t>
      </w:r>
      <w:r>
        <w:rPr>
          <w:sz w:val="28"/>
          <w:szCs w:val="28"/>
        </w:rPr>
        <w:t>GS</w:t>
      </w:r>
      <w:r w:rsidR="008A5735">
        <w:rPr>
          <w:rFonts w:hint="eastAsia"/>
          <w:sz w:val="28"/>
          <w:szCs w:val="28"/>
        </w:rPr>
        <w:t>的磁铁作为外置磁铁</w:t>
      </w:r>
      <w:r>
        <w:rPr>
          <w:rFonts w:hint="eastAsia"/>
          <w:sz w:val="28"/>
          <w:szCs w:val="28"/>
        </w:rPr>
        <w:t>。</w:t>
      </w:r>
    </w:p>
    <w:p w:rsidR="000E484B" w:rsidRDefault="000E484B" w:rsidP="00291A1C">
      <w:pPr>
        <w:jc w:val="center"/>
        <w:rPr>
          <w:sz w:val="28"/>
          <w:szCs w:val="28"/>
        </w:rPr>
      </w:pPr>
      <w:r>
        <w:rPr>
          <w:noProof/>
        </w:rPr>
        <w:drawing>
          <wp:inline distT="0" distB="0" distL="0" distR="0">
            <wp:extent cx="3964577" cy="1288488"/>
            <wp:effectExtent l="0" t="0" r="0" b="6985"/>
            <wp:docPr id="48647937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479373" name=""/>
                    <pic:cNvPicPr/>
                  </pic:nvPicPr>
                  <pic:blipFill>
                    <a:blip r:embed="rId10" cstate="print"/>
                    <a:stretch>
                      <a:fillRect/>
                    </a:stretch>
                  </pic:blipFill>
                  <pic:spPr>
                    <a:xfrm>
                      <a:off x="0" y="0"/>
                      <a:ext cx="3969960" cy="1290238"/>
                    </a:xfrm>
                    <a:prstGeom prst="rect">
                      <a:avLst/>
                    </a:prstGeom>
                  </pic:spPr>
                </pic:pic>
              </a:graphicData>
            </a:graphic>
          </wp:inline>
        </w:drawing>
      </w:r>
    </w:p>
    <w:p w:rsidR="000E484B" w:rsidRDefault="000E484B" w:rsidP="000E484B">
      <w:pPr>
        <w:jc w:val="center"/>
        <w:rPr>
          <w:sz w:val="28"/>
          <w:szCs w:val="28"/>
        </w:rPr>
      </w:pPr>
      <w:r>
        <w:rPr>
          <w:noProof/>
        </w:rPr>
        <w:drawing>
          <wp:inline distT="0" distB="0" distL="0" distR="0">
            <wp:extent cx="4036979" cy="2406343"/>
            <wp:effectExtent l="0" t="0" r="0" b="0"/>
            <wp:docPr id="128619864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6198643" name=""/>
                    <pic:cNvPicPr/>
                  </pic:nvPicPr>
                  <pic:blipFill>
                    <a:blip r:embed="rId11" cstate="print"/>
                    <a:stretch>
                      <a:fillRect/>
                    </a:stretch>
                  </pic:blipFill>
                  <pic:spPr>
                    <a:xfrm>
                      <a:off x="0" y="0"/>
                      <a:ext cx="4041972" cy="2409319"/>
                    </a:xfrm>
                    <a:prstGeom prst="rect">
                      <a:avLst/>
                    </a:prstGeom>
                  </pic:spPr>
                </pic:pic>
              </a:graphicData>
            </a:graphic>
          </wp:inline>
        </w:drawing>
      </w:r>
    </w:p>
    <w:p w:rsidR="007E0B45" w:rsidRDefault="007E0B45" w:rsidP="007E0B45">
      <w:pPr>
        <w:rPr>
          <w:sz w:val="28"/>
          <w:szCs w:val="28"/>
        </w:rPr>
      </w:pPr>
      <w:r w:rsidRPr="008D79C7">
        <w:rPr>
          <w:rFonts w:hint="eastAsia"/>
          <w:sz w:val="28"/>
          <w:szCs w:val="28"/>
        </w:rPr>
        <w:t>2.2.</w:t>
      </w:r>
      <w:r>
        <w:rPr>
          <w:rFonts w:hint="eastAsia"/>
          <w:sz w:val="28"/>
          <w:szCs w:val="28"/>
        </w:rPr>
        <w:t>4</w:t>
      </w:r>
      <w:r w:rsidRPr="008D79C7">
        <w:rPr>
          <w:rFonts w:hint="eastAsia"/>
          <w:sz w:val="28"/>
          <w:szCs w:val="28"/>
        </w:rPr>
        <w:t>吸附次数</w:t>
      </w:r>
      <w:r>
        <w:rPr>
          <w:rFonts w:hint="eastAsia"/>
          <w:sz w:val="28"/>
          <w:szCs w:val="28"/>
        </w:rPr>
        <w:t>及回收率检测</w:t>
      </w:r>
    </w:p>
    <w:p w:rsidR="007E0B45" w:rsidRPr="002F2C84" w:rsidRDefault="003B50FE" w:rsidP="007E0B45">
      <w:pPr>
        <w:pStyle w:val="a8"/>
        <w:ind w:firstLine="560"/>
        <w:rPr>
          <w:sz w:val="28"/>
          <w:szCs w:val="28"/>
        </w:rPr>
      </w:pPr>
      <w:r>
        <w:rPr>
          <w:rFonts w:hint="eastAsia"/>
          <w:sz w:val="28"/>
          <w:szCs w:val="28"/>
        </w:rPr>
        <w:t>使用</w:t>
      </w:r>
      <w:r w:rsidR="007E0B45">
        <w:rPr>
          <w:rFonts w:hint="eastAsia"/>
          <w:sz w:val="28"/>
          <w:szCs w:val="28"/>
        </w:rPr>
        <w:t>显微镜确定加入不锈钢颗粒数目，将颗粒加入到多次吸附干净的正极材料中。选择6000</w:t>
      </w:r>
      <w:r w:rsidR="007E0B45">
        <w:rPr>
          <w:sz w:val="28"/>
          <w:szCs w:val="28"/>
        </w:rPr>
        <w:t>GS-</w:t>
      </w:r>
      <w:r w:rsidR="007E0B45">
        <w:rPr>
          <w:rFonts w:hint="eastAsia"/>
          <w:sz w:val="28"/>
          <w:szCs w:val="28"/>
        </w:rPr>
        <w:t>12000</w:t>
      </w:r>
      <w:r w:rsidR="007E0B45">
        <w:rPr>
          <w:sz w:val="28"/>
          <w:szCs w:val="28"/>
        </w:rPr>
        <w:t>GS</w:t>
      </w:r>
      <w:r w:rsidR="007E0B45">
        <w:rPr>
          <w:rFonts w:hint="eastAsia"/>
          <w:sz w:val="28"/>
          <w:szCs w:val="28"/>
        </w:rPr>
        <w:t>范围内的磁棒进行吸附提取实验，6000</w:t>
      </w:r>
      <w:r w:rsidR="007E0B45">
        <w:rPr>
          <w:sz w:val="28"/>
          <w:szCs w:val="28"/>
        </w:rPr>
        <w:t>GS</w:t>
      </w:r>
      <w:r w:rsidR="007E0B45">
        <w:rPr>
          <w:rFonts w:hint="eastAsia"/>
          <w:sz w:val="28"/>
          <w:szCs w:val="28"/>
        </w:rPr>
        <w:t>磁棒提取范围在60-80%，一次提取率在80%以下，12000</w:t>
      </w:r>
      <w:r w:rsidR="007E0B45">
        <w:rPr>
          <w:sz w:val="28"/>
          <w:szCs w:val="28"/>
        </w:rPr>
        <w:t>GS</w:t>
      </w:r>
      <w:r w:rsidR="007E0B45">
        <w:rPr>
          <w:rFonts w:hint="eastAsia"/>
          <w:sz w:val="28"/>
          <w:szCs w:val="28"/>
        </w:rPr>
        <w:t>磁棒的一次提取率在90%以上。故在标准文本中规定重复提取，</w:t>
      </w:r>
      <w:r w:rsidR="007E0B45" w:rsidRPr="002F2C84">
        <w:rPr>
          <w:rFonts w:hint="eastAsia"/>
          <w:sz w:val="28"/>
          <w:szCs w:val="28"/>
        </w:rPr>
        <w:t>经验证/评估一次提取的磁性颗粒数量达到三次提取总量的85%以上</w:t>
      </w:r>
      <w:r w:rsidR="007E0B45">
        <w:rPr>
          <w:rFonts w:hint="eastAsia"/>
          <w:sz w:val="28"/>
          <w:szCs w:val="28"/>
        </w:rPr>
        <w:t>的材料</w:t>
      </w:r>
      <w:r w:rsidR="007E0B45" w:rsidRPr="002F2C84">
        <w:rPr>
          <w:rFonts w:hint="eastAsia"/>
          <w:sz w:val="28"/>
          <w:szCs w:val="28"/>
        </w:rPr>
        <w:t>，可不用重复提取。</w:t>
      </w:r>
    </w:p>
    <w:p w:rsidR="007E0B45" w:rsidRPr="002F2C84" w:rsidRDefault="007E0B45" w:rsidP="007E0B45">
      <w:pPr>
        <w:ind w:firstLineChars="202" w:firstLine="566"/>
        <w:rPr>
          <w:sz w:val="28"/>
          <w:szCs w:val="28"/>
        </w:rPr>
      </w:pPr>
    </w:p>
    <w:p w:rsidR="007E0B45" w:rsidRDefault="007E0B45" w:rsidP="007E0B45">
      <w:pPr>
        <w:jc w:val="center"/>
        <w:rPr>
          <w:sz w:val="28"/>
          <w:szCs w:val="28"/>
        </w:rPr>
      </w:pPr>
      <w:r>
        <w:rPr>
          <w:noProof/>
        </w:rPr>
        <w:lastRenderedPageBreak/>
        <w:drawing>
          <wp:inline distT="0" distB="0" distL="0" distR="0">
            <wp:extent cx="3867149" cy="2667000"/>
            <wp:effectExtent l="0" t="0" r="635" b="0"/>
            <wp:docPr id="1171223062" name="图表 1">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00000000-0008-0000-0000-000007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7E0B45" w:rsidRPr="008D79C7" w:rsidRDefault="007E0B45" w:rsidP="000E484B">
      <w:pPr>
        <w:jc w:val="center"/>
        <w:rPr>
          <w:sz w:val="28"/>
          <w:szCs w:val="28"/>
        </w:rPr>
      </w:pPr>
    </w:p>
    <w:p w:rsidR="00C10BC3" w:rsidRPr="009D5B37" w:rsidRDefault="00C10BC3" w:rsidP="009D5B37">
      <w:pPr>
        <w:pStyle w:val="a5"/>
        <w:numPr>
          <w:ilvl w:val="0"/>
          <w:numId w:val="3"/>
        </w:numPr>
        <w:ind w:firstLineChars="0"/>
        <w:rPr>
          <w:b/>
          <w:bCs/>
          <w:sz w:val="32"/>
          <w:szCs w:val="32"/>
        </w:rPr>
      </w:pPr>
      <w:r w:rsidRPr="009D5B37">
        <w:rPr>
          <w:rFonts w:hint="eastAsia"/>
          <w:b/>
          <w:bCs/>
          <w:sz w:val="32"/>
          <w:szCs w:val="32"/>
        </w:rPr>
        <w:t>采用国际标准和国外先进标准情况</w:t>
      </w:r>
    </w:p>
    <w:p w:rsidR="00E14F24" w:rsidRPr="008D79C7" w:rsidRDefault="00E14F24" w:rsidP="00E14F24">
      <w:pPr>
        <w:pStyle w:val="a5"/>
        <w:ind w:left="360" w:firstLineChars="0" w:firstLine="0"/>
        <w:rPr>
          <w:sz w:val="28"/>
          <w:szCs w:val="28"/>
        </w:rPr>
      </w:pPr>
      <w:r>
        <w:rPr>
          <w:rFonts w:hint="eastAsia"/>
          <w:sz w:val="28"/>
          <w:szCs w:val="28"/>
        </w:rPr>
        <w:t>无</w:t>
      </w:r>
    </w:p>
    <w:p w:rsidR="00C10BC3" w:rsidRPr="009D5B37" w:rsidRDefault="00C10BC3" w:rsidP="009D5B37">
      <w:pPr>
        <w:pStyle w:val="a5"/>
        <w:numPr>
          <w:ilvl w:val="0"/>
          <w:numId w:val="3"/>
        </w:numPr>
        <w:ind w:firstLineChars="0"/>
        <w:rPr>
          <w:b/>
          <w:bCs/>
          <w:sz w:val="32"/>
          <w:szCs w:val="32"/>
        </w:rPr>
      </w:pPr>
      <w:r w:rsidRPr="009D5B37">
        <w:rPr>
          <w:rFonts w:hint="eastAsia"/>
          <w:b/>
          <w:bCs/>
          <w:sz w:val="32"/>
          <w:szCs w:val="32"/>
        </w:rPr>
        <w:t>国际、国外标准对比情况</w:t>
      </w:r>
    </w:p>
    <w:p w:rsidR="00E14F24" w:rsidRPr="008D79C7" w:rsidRDefault="00613F9D" w:rsidP="00006381">
      <w:pPr>
        <w:pStyle w:val="a8"/>
        <w:ind w:firstLine="560"/>
        <w:rPr>
          <w:sz w:val="28"/>
          <w:szCs w:val="28"/>
        </w:rPr>
      </w:pPr>
      <w:r>
        <w:rPr>
          <w:rFonts w:hint="eastAsia"/>
          <w:sz w:val="28"/>
          <w:szCs w:val="28"/>
        </w:rPr>
        <w:t>在现行有效的国家标准、行业标准、四川省地方标准中，有</w:t>
      </w:r>
      <w:r w:rsidR="00006381">
        <w:rPr>
          <w:rFonts w:hint="eastAsia"/>
          <w:sz w:val="28"/>
          <w:szCs w:val="28"/>
        </w:rPr>
        <w:t>3</w:t>
      </w:r>
      <w:r>
        <w:rPr>
          <w:rFonts w:hint="eastAsia"/>
          <w:sz w:val="28"/>
          <w:szCs w:val="28"/>
        </w:rPr>
        <w:t>项</w:t>
      </w:r>
      <w:r w:rsidR="00006381">
        <w:rPr>
          <w:rFonts w:hint="eastAsia"/>
          <w:sz w:val="28"/>
          <w:szCs w:val="28"/>
        </w:rPr>
        <w:t>锂电材料磁性异物相关的标准，分别为</w:t>
      </w:r>
      <w:r w:rsidR="00006381" w:rsidRPr="00006381">
        <w:rPr>
          <w:rFonts w:hint="eastAsia"/>
          <w:sz w:val="28"/>
          <w:szCs w:val="28"/>
        </w:rPr>
        <w:t>GB/T 41704-2022</w:t>
      </w:r>
      <w:proofErr w:type="gramStart"/>
      <w:r w:rsidR="00006381" w:rsidRPr="00006381">
        <w:rPr>
          <w:rFonts w:hint="eastAsia"/>
          <w:sz w:val="28"/>
          <w:szCs w:val="28"/>
        </w:rPr>
        <w:t>锂</w:t>
      </w:r>
      <w:proofErr w:type="gramEnd"/>
      <w:r w:rsidR="00006381" w:rsidRPr="00006381">
        <w:rPr>
          <w:rFonts w:hint="eastAsia"/>
          <w:sz w:val="28"/>
          <w:szCs w:val="28"/>
        </w:rPr>
        <w:t>离子正极材料检测方法 磁性异物含量和残余碱含量的测定</w:t>
      </w:r>
      <w:proofErr w:type="gramStart"/>
      <w:r w:rsidR="00006381" w:rsidRPr="00006381">
        <w:rPr>
          <w:rFonts w:hint="eastAsia"/>
          <w:sz w:val="28"/>
          <w:szCs w:val="28"/>
        </w:rPr>
        <w:t>》</w:t>
      </w:r>
      <w:proofErr w:type="gramEnd"/>
      <w:r w:rsidR="00006381" w:rsidRPr="00006381">
        <w:rPr>
          <w:rFonts w:hint="eastAsia"/>
          <w:sz w:val="28"/>
          <w:szCs w:val="28"/>
        </w:rPr>
        <w:t>、《GB/T 33827-2017 锂电池用纳米负极材料中磁性物质含量的测定方法》及《SJ/T 11795-2022 锂离电池电极材料中磁性异物含量测试方法》</w:t>
      </w:r>
      <w:r w:rsidR="00006381">
        <w:rPr>
          <w:rFonts w:hint="eastAsia"/>
          <w:sz w:val="28"/>
          <w:szCs w:val="28"/>
        </w:rPr>
        <w:t>，现有标准</w:t>
      </w:r>
      <w:r w:rsidR="00006381" w:rsidRPr="00783D9D">
        <w:rPr>
          <w:rFonts w:hint="eastAsia"/>
          <w:sz w:val="28"/>
          <w:szCs w:val="28"/>
        </w:rPr>
        <w:t>规定了使用电感耦合等离子体发射光谱法及扫描电镜-能谱法测定磁性物质，</w:t>
      </w:r>
      <w:r w:rsidR="00006381">
        <w:rPr>
          <w:rFonts w:hint="eastAsia"/>
          <w:sz w:val="28"/>
          <w:szCs w:val="28"/>
        </w:rPr>
        <w:t>不能对异物颗粒尺寸及数量</w:t>
      </w:r>
      <w:r w:rsidR="00006381" w:rsidRPr="00783D9D">
        <w:rPr>
          <w:rFonts w:hint="eastAsia"/>
          <w:sz w:val="28"/>
          <w:szCs w:val="28"/>
        </w:rPr>
        <w:t>进行统计学分析</w:t>
      </w:r>
      <w:r w:rsidR="00006381">
        <w:rPr>
          <w:rFonts w:hint="eastAsia"/>
          <w:sz w:val="28"/>
          <w:szCs w:val="28"/>
        </w:rPr>
        <w:t>，与本标准的测试方法及前处理流程均有所区别。</w:t>
      </w:r>
    </w:p>
    <w:p w:rsidR="00C10BC3" w:rsidRPr="009D5B37" w:rsidRDefault="00C10BC3" w:rsidP="009D5B37">
      <w:pPr>
        <w:pStyle w:val="a5"/>
        <w:numPr>
          <w:ilvl w:val="0"/>
          <w:numId w:val="3"/>
        </w:numPr>
        <w:ind w:firstLineChars="0"/>
        <w:rPr>
          <w:b/>
          <w:bCs/>
          <w:sz w:val="32"/>
          <w:szCs w:val="32"/>
        </w:rPr>
      </w:pPr>
      <w:r w:rsidRPr="009D5B37">
        <w:rPr>
          <w:rFonts w:hint="eastAsia"/>
          <w:b/>
          <w:bCs/>
          <w:sz w:val="32"/>
          <w:szCs w:val="32"/>
        </w:rPr>
        <w:t>标准涉及的专利情况</w:t>
      </w:r>
    </w:p>
    <w:p w:rsidR="00E14F24" w:rsidRPr="00E14F24" w:rsidRDefault="00E14F24" w:rsidP="00E14F24">
      <w:pPr>
        <w:ind w:firstLineChars="152" w:firstLine="426"/>
        <w:rPr>
          <w:sz w:val="28"/>
          <w:szCs w:val="28"/>
        </w:rPr>
      </w:pPr>
      <w:r w:rsidRPr="00E14F24">
        <w:rPr>
          <w:rFonts w:hint="eastAsia"/>
          <w:sz w:val="28"/>
          <w:szCs w:val="28"/>
        </w:rPr>
        <w:t>本标准中不涉及专利。</w:t>
      </w:r>
    </w:p>
    <w:p w:rsidR="00C10BC3" w:rsidRDefault="00C10BC3" w:rsidP="009D5B37">
      <w:pPr>
        <w:pStyle w:val="a5"/>
        <w:numPr>
          <w:ilvl w:val="0"/>
          <w:numId w:val="3"/>
        </w:numPr>
        <w:ind w:firstLineChars="0"/>
        <w:rPr>
          <w:b/>
          <w:bCs/>
          <w:sz w:val="32"/>
          <w:szCs w:val="32"/>
        </w:rPr>
      </w:pPr>
      <w:r w:rsidRPr="009D5B37">
        <w:rPr>
          <w:rFonts w:hint="eastAsia"/>
          <w:b/>
          <w:bCs/>
          <w:sz w:val="32"/>
          <w:szCs w:val="32"/>
        </w:rPr>
        <w:t>预期达到的社会效益、对产业发展的作用</w:t>
      </w:r>
    </w:p>
    <w:p w:rsidR="003B50FE" w:rsidRDefault="00221C80" w:rsidP="003B50FE">
      <w:pPr>
        <w:ind w:firstLineChars="152" w:firstLine="426"/>
        <w:rPr>
          <w:sz w:val="28"/>
          <w:szCs w:val="28"/>
        </w:rPr>
      </w:pPr>
      <w:r>
        <w:rPr>
          <w:rFonts w:hint="eastAsia"/>
          <w:sz w:val="28"/>
          <w:szCs w:val="28"/>
        </w:rPr>
        <w:lastRenderedPageBreak/>
        <w:t>编制单位四川省产品质量监督检验检测院对锂电行业进行了广泛调研。选取了磁性金属颗粒检测这一缺口进行标准化。</w:t>
      </w:r>
      <w:r w:rsidR="003B50FE" w:rsidRPr="003B50FE">
        <w:rPr>
          <w:rFonts w:hint="eastAsia"/>
          <w:sz w:val="28"/>
          <w:szCs w:val="28"/>
        </w:rPr>
        <w:t>制定本地方标准</w:t>
      </w:r>
      <w:r w:rsidR="003B50FE">
        <w:rPr>
          <w:rFonts w:hint="eastAsia"/>
          <w:sz w:val="28"/>
          <w:szCs w:val="28"/>
        </w:rPr>
        <w:t>规范了锂电材料中磁性金属颗粒的质量检验依据</w:t>
      </w:r>
      <w:r w:rsidR="00CE53D8">
        <w:rPr>
          <w:rFonts w:hint="eastAsia"/>
          <w:sz w:val="28"/>
          <w:szCs w:val="28"/>
        </w:rPr>
        <w:t>，</w:t>
      </w:r>
      <w:r w:rsidR="00CE53D8" w:rsidRPr="00CE53D8">
        <w:rPr>
          <w:rFonts w:hint="eastAsia"/>
          <w:sz w:val="28"/>
          <w:szCs w:val="28"/>
        </w:rPr>
        <w:t>标准的制定将</w:t>
      </w:r>
      <w:r w:rsidR="00CE53D8">
        <w:rPr>
          <w:rFonts w:hint="eastAsia"/>
          <w:sz w:val="28"/>
          <w:szCs w:val="28"/>
        </w:rPr>
        <w:t>助力</w:t>
      </w:r>
      <w:r w:rsidR="00CE53D8" w:rsidRPr="00CE53D8">
        <w:rPr>
          <w:rFonts w:hint="eastAsia"/>
          <w:sz w:val="28"/>
          <w:szCs w:val="28"/>
        </w:rPr>
        <w:t>锂电池材料减少因磁性金属颗粒超标导致的电池性能下降、寿命缩短甚至安全隐患，从而提高锂电池的整体质量和安全性。通过制定统一的检测标准，可以避免不同企业采用不同的检测方法导致的结果差异，有利于市场的公平竞争和消费者的权益保护。</w:t>
      </w:r>
    </w:p>
    <w:p w:rsidR="00CE53D8" w:rsidRPr="00CE53D8" w:rsidRDefault="00CE53D8" w:rsidP="00CE53D8">
      <w:pPr>
        <w:ind w:firstLineChars="152" w:firstLine="426"/>
        <w:rPr>
          <w:sz w:val="28"/>
          <w:szCs w:val="28"/>
        </w:rPr>
      </w:pPr>
      <w:r w:rsidRPr="00CE53D8">
        <w:rPr>
          <w:rFonts w:hint="eastAsia"/>
          <w:sz w:val="28"/>
          <w:szCs w:val="28"/>
        </w:rPr>
        <w:t>标准的制定将引导企业加强技术创新和研发投入，推动锂电池材料检测技术的不断进步和升级，提高检测效率和准确性。</w:t>
      </w:r>
    </w:p>
    <w:p w:rsidR="00C10BC3" w:rsidRPr="00CE53D8" w:rsidRDefault="00C10BC3" w:rsidP="009D5B37">
      <w:pPr>
        <w:pStyle w:val="a5"/>
        <w:numPr>
          <w:ilvl w:val="0"/>
          <w:numId w:val="3"/>
        </w:numPr>
        <w:ind w:firstLineChars="0"/>
        <w:rPr>
          <w:b/>
          <w:bCs/>
          <w:sz w:val="32"/>
          <w:szCs w:val="32"/>
        </w:rPr>
      </w:pPr>
      <w:r w:rsidRPr="003B50FE">
        <w:rPr>
          <w:rFonts w:hint="eastAsia"/>
          <w:b/>
          <w:bCs/>
          <w:sz w:val="32"/>
          <w:szCs w:val="32"/>
        </w:rPr>
        <w:t>在标准体系中的位置，与现行相关法律、法规、规章及标准的协调性</w:t>
      </w:r>
    </w:p>
    <w:p w:rsidR="00C10BC3" w:rsidRPr="008D79C7" w:rsidRDefault="00C10BC3" w:rsidP="00E14F24">
      <w:pPr>
        <w:ind w:firstLineChars="202" w:firstLine="566"/>
        <w:rPr>
          <w:sz w:val="28"/>
          <w:szCs w:val="28"/>
        </w:rPr>
      </w:pPr>
      <w:r w:rsidRPr="008D79C7">
        <w:rPr>
          <w:rFonts w:hint="eastAsia"/>
          <w:sz w:val="28"/>
          <w:szCs w:val="28"/>
        </w:rPr>
        <w:t>本标准属于</w:t>
      </w:r>
      <w:r w:rsidR="00B9681E" w:rsidRPr="008D79C7">
        <w:rPr>
          <w:rFonts w:hint="eastAsia"/>
          <w:sz w:val="28"/>
          <w:szCs w:val="28"/>
        </w:rPr>
        <w:t>汽车动力电池标准体系中的材料产品标准，与现行相关法律、法规及相关标准没有冲突或矛盾。</w:t>
      </w:r>
    </w:p>
    <w:p w:rsidR="00B9681E" w:rsidRPr="009D5B37" w:rsidRDefault="00B9681E" w:rsidP="009D5B37">
      <w:pPr>
        <w:pStyle w:val="a5"/>
        <w:numPr>
          <w:ilvl w:val="0"/>
          <w:numId w:val="3"/>
        </w:numPr>
        <w:ind w:firstLineChars="0"/>
        <w:rPr>
          <w:b/>
          <w:bCs/>
          <w:sz w:val="32"/>
          <w:szCs w:val="32"/>
        </w:rPr>
      </w:pPr>
      <w:r w:rsidRPr="009D5B37">
        <w:rPr>
          <w:rFonts w:hint="eastAsia"/>
          <w:b/>
          <w:bCs/>
          <w:sz w:val="32"/>
          <w:szCs w:val="32"/>
        </w:rPr>
        <w:t>重大分歧意见的处理经过和依据</w:t>
      </w:r>
    </w:p>
    <w:p w:rsidR="00783D9D" w:rsidRPr="00783D9D" w:rsidRDefault="00783D9D" w:rsidP="00783D9D">
      <w:pPr>
        <w:pStyle w:val="a5"/>
        <w:ind w:left="360" w:firstLineChars="0" w:firstLine="0"/>
        <w:rPr>
          <w:sz w:val="28"/>
          <w:szCs w:val="28"/>
        </w:rPr>
      </w:pPr>
      <w:r>
        <w:rPr>
          <w:rFonts w:hint="eastAsia"/>
          <w:sz w:val="28"/>
          <w:szCs w:val="28"/>
        </w:rPr>
        <w:t>本标准</w:t>
      </w:r>
      <w:r w:rsidR="001C6826">
        <w:rPr>
          <w:rFonts w:hint="eastAsia"/>
          <w:sz w:val="28"/>
          <w:szCs w:val="28"/>
        </w:rPr>
        <w:t>制定</w:t>
      </w:r>
      <w:r>
        <w:rPr>
          <w:rFonts w:hint="eastAsia"/>
          <w:sz w:val="28"/>
          <w:szCs w:val="28"/>
        </w:rPr>
        <w:t>过程中未出现重大分歧意见。</w:t>
      </w:r>
    </w:p>
    <w:p w:rsidR="00B9681E" w:rsidRPr="009D5B37" w:rsidRDefault="00783D9D" w:rsidP="009D5B37">
      <w:pPr>
        <w:pStyle w:val="a5"/>
        <w:numPr>
          <w:ilvl w:val="0"/>
          <w:numId w:val="3"/>
        </w:numPr>
        <w:ind w:firstLineChars="0"/>
        <w:rPr>
          <w:b/>
          <w:bCs/>
          <w:sz w:val="32"/>
          <w:szCs w:val="32"/>
        </w:rPr>
      </w:pPr>
      <w:r w:rsidRPr="009D5B37">
        <w:rPr>
          <w:rFonts w:hint="eastAsia"/>
          <w:b/>
          <w:bCs/>
          <w:sz w:val="32"/>
          <w:szCs w:val="32"/>
        </w:rPr>
        <w:t>实施</w:t>
      </w:r>
      <w:r w:rsidR="00B9681E" w:rsidRPr="009D5B37">
        <w:rPr>
          <w:rFonts w:hint="eastAsia"/>
          <w:b/>
          <w:bCs/>
          <w:sz w:val="32"/>
          <w:szCs w:val="32"/>
        </w:rPr>
        <w:t>标准的要求和措施建议</w:t>
      </w:r>
    </w:p>
    <w:p w:rsidR="00B9681E" w:rsidRDefault="00783D9D" w:rsidP="001C6826">
      <w:pPr>
        <w:ind w:firstLineChars="202" w:firstLine="566"/>
        <w:rPr>
          <w:sz w:val="28"/>
          <w:szCs w:val="28"/>
        </w:rPr>
      </w:pPr>
      <w:r>
        <w:rPr>
          <w:rFonts w:hint="eastAsia"/>
          <w:sz w:val="28"/>
          <w:szCs w:val="28"/>
        </w:rPr>
        <w:t>建议本标准为推荐性地方标准颁布，供锂电相关企业和检测机构单位使用。</w:t>
      </w:r>
    </w:p>
    <w:p w:rsidR="00783D9D" w:rsidRDefault="006D4551" w:rsidP="001C6826">
      <w:pPr>
        <w:ind w:firstLineChars="202" w:firstLine="566"/>
        <w:rPr>
          <w:sz w:val="28"/>
          <w:szCs w:val="28"/>
        </w:rPr>
      </w:pPr>
      <w:r>
        <w:rPr>
          <w:rFonts w:hint="eastAsia"/>
          <w:sz w:val="28"/>
          <w:szCs w:val="28"/>
        </w:rPr>
        <w:t>建议本标准的</w:t>
      </w:r>
      <w:r w:rsidR="00783D9D">
        <w:rPr>
          <w:rFonts w:hint="eastAsia"/>
          <w:sz w:val="28"/>
          <w:szCs w:val="28"/>
        </w:rPr>
        <w:t>发布日期为</w:t>
      </w:r>
      <w:r w:rsidR="00783D9D">
        <w:rPr>
          <w:rFonts w:hint="eastAsia"/>
          <w:sz w:val="28"/>
          <w:szCs w:val="28"/>
        </w:rPr>
        <w:t>2024</w:t>
      </w:r>
      <w:r w:rsidR="00783D9D">
        <w:rPr>
          <w:rFonts w:hint="eastAsia"/>
          <w:sz w:val="28"/>
          <w:szCs w:val="28"/>
        </w:rPr>
        <w:t>年</w:t>
      </w:r>
      <w:r>
        <w:rPr>
          <w:rFonts w:hint="eastAsia"/>
          <w:sz w:val="28"/>
          <w:szCs w:val="28"/>
        </w:rPr>
        <w:t>12</w:t>
      </w:r>
      <w:r w:rsidR="00783D9D">
        <w:rPr>
          <w:rFonts w:hint="eastAsia"/>
          <w:sz w:val="28"/>
          <w:szCs w:val="28"/>
        </w:rPr>
        <w:t>月</w:t>
      </w:r>
      <w:r w:rsidR="00783D9D">
        <w:rPr>
          <w:rFonts w:hint="eastAsia"/>
          <w:sz w:val="28"/>
          <w:szCs w:val="28"/>
        </w:rPr>
        <w:t>1</w:t>
      </w:r>
      <w:r w:rsidR="00783D9D">
        <w:rPr>
          <w:rFonts w:hint="eastAsia"/>
          <w:sz w:val="28"/>
          <w:szCs w:val="28"/>
        </w:rPr>
        <w:t>日，实施日期为</w:t>
      </w:r>
      <w:r w:rsidR="00783D9D">
        <w:rPr>
          <w:rFonts w:hint="eastAsia"/>
          <w:sz w:val="28"/>
          <w:szCs w:val="28"/>
        </w:rPr>
        <w:t>2025</w:t>
      </w:r>
      <w:r w:rsidR="00783D9D">
        <w:rPr>
          <w:rFonts w:hint="eastAsia"/>
          <w:sz w:val="28"/>
          <w:szCs w:val="28"/>
        </w:rPr>
        <w:t>年</w:t>
      </w:r>
      <w:r w:rsidR="00613F9D">
        <w:rPr>
          <w:rFonts w:hint="eastAsia"/>
          <w:sz w:val="28"/>
          <w:szCs w:val="28"/>
        </w:rPr>
        <w:t>7</w:t>
      </w:r>
      <w:r w:rsidR="00783D9D">
        <w:rPr>
          <w:rFonts w:hint="eastAsia"/>
          <w:sz w:val="28"/>
          <w:szCs w:val="28"/>
        </w:rPr>
        <w:t>月</w:t>
      </w:r>
      <w:r w:rsidR="00783D9D">
        <w:rPr>
          <w:rFonts w:hint="eastAsia"/>
          <w:sz w:val="28"/>
          <w:szCs w:val="28"/>
        </w:rPr>
        <w:t>1</w:t>
      </w:r>
      <w:r w:rsidR="00783D9D">
        <w:rPr>
          <w:rFonts w:hint="eastAsia"/>
          <w:sz w:val="28"/>
          <w:szCs w:val="28"/>
        </w:rPr>
        <w:t>日。</w:t>
      </w:r>
    </w:p>
    <w:p w:rsidR="00783D9D" w:rsidRPr="009D5B37" w:rsidRDefault="00783D9D" w:rsidP="009D5B37">
      <w:pPr>
        <w:pStyle w:val="a5"/>
        <w:numPr>
          <w:ilvl w:val="0"/>
          <w:numId w:val="3"/>
        </w:numPr>
        <w:ind w:firstLineChars="0"/>
        <w:rPr>
          <w:b/>
          <w:bCs/>
          <w:sz w:val="32"/>
          <w:szCs w:val="32"/>
        </w:rPr>
      </w:pPr>
      <w:r w:rsidRPr="009D5B37">
        <w:rPr>
          <w:rFonts w:hint="eastAsia"/>
          <w:b/>
          <w:bCs/>
          <w:sz w:val="32"/>
          <w:szCs w:val="32"/>
        </w:rPr>
        <w:t>其他应予说明的事项</w:t>
      </w:r>
    </w:p>
    <w:p w:rsidR="00783D9D" w:rsidRPr="008D79C7" w:rsidRDefault="00783D9D" w:rsidP="00B9681E">
      <w:pPr>
        <w:pStyle w:val="a5"/>
        <w:ind w:left="360" w:firstLineChars="0" w:firstLine="0"/>
        <w:rPr>
          <w:sz w:val="28"/>
          <w:szCs w:val="28"/>
        </w:rPr>
      </w:pPr>
      <w:r>
        <w:rPr>
          <w:rFonts w:hint="eastAsia"/>
          <w:sz w:val="28"/>
          <w:szCs w:val="28"/>
        </w:rPr>
        <w:t>无</w:t>
      </w:r>
    </w:p>
    <w:sectPr w:rsidR="00783D9D" w:rsidRPr="008D79C7" w:rsidSect="008D0E7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06A7" w:rsidRDefault="009E06A7" w:rsidP="00C10BC3">
      <w:r>
        <w:separator/>
      </w:r>
    </w:p>
  </w:endnote>
  <w:endnote w:type="continuationSeparator" w:id="0">
    <w:p w:rsidR="009E06A7" w:rsidRDefault="009E06A7" w:rsidP="00C10B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00007843" w:usb2="00000001" w:usb3="00000000" w:csb0="000001FF" w:csb1="00000000"/>
  </w:font>
  <w:font w:name="Calibri">
    <w:panose1 w:val="020F0502020204030204"/>
    <w:charset w:val="00"/>
    <w:family w:val="swiss"/>
    <w:pitch w:val="variable"/>
    <w:sig w:usb0="E0002AFF" w:usb1="4000ACFF"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06A7" w:rsidRDefault="009E06A7" w:rsidP="00C10BC3">
      <w:r>
        <w:separator/>
      </w:r>
    </w:p>
  </w:footnote>
  <w:footnote w:type="continuationSeparator" w:id="0">
    <w:p w:rsidR="009E06A7" w:rsidRDefault="009E06A7" w:rsidP="00C10BC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3E648A"/>
    <w:multiLevelType w:val="hybridMultilevel"/>
    <w:tmpl w:val="05389302"/>
    <w:lvl w:ilvl="0" w:tplc="20D8597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99C60A5"/>
    <w:multiLevelType w:val="hybridMultilevel"/>
    <w:tmpl w:val="2930A274"/>
    <w:lvl w:ilvl="0" w:tplc="5BB0EB5E">
      <w:start w:val="1"/>
      <w:numFmt w:val="japaneseCounting"/>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nsid w:val="72E17098"/>
    <w:multiLevelType w:val="multilevel"/>
    <w:tmpl w:val="8A0ECB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10BC3"/>
    <w:rsid w:val="00006381"/>
    <w:rsid w:val="0002048D"/>
    <w:rsid w:val="000363E1"/>
    <w:rsid w:val="000901F6"/>
    <w:rsid w:val="000E484B"/>
    <w:rsid w:val="00105AFB"/>
    <w:rsid w:val="0014211F"/>
    <w:rsid w:val="00186C49"/>
    <w:rsid w:val="001944E0"/>
    <w:rsid w:val="001B7769"/>
    <w:rsid w:val="001C6826"/>
    <w:rsid w:val="001D7ED5"/>
    <w:rsid w:val="001F0E4D"/>
    <w:rsid w:val="00207E65"/>
    <w:rsid w:val="00221C80"/>
    <w:rsid w:val="00247110"/>
    <w:rsid w:val="00280B2F"/>
    <w:rsid w:val="00291A1C"/>
    <w:rsid w:val="002F2C84"/>
    <w:rsid w:val="00370E39"/>
    <w:rsid w:val="003B50FE"/>
    <w:rsid w:val="004176BD"/>
    <w:rsid w:val="004366CD"/>
    <w:rsid w:val="004C3C60"/>
    <w:rsid w:val="00537F78"/>
    <w:rsid w:val="005B7ECF"/>
    <w:rsid w:val="00613F9D"/>
    <w:rsid w:val="00640FFD"/>
    <w:rsid w:val="00673D5C"/>
    <w:rsid w:val="006D4551"/>
    <w:rsid w:val="006D7186"/>
    <w:rsid w:val="00722BFA"/>
    <w:rsid w:val="0077107C"/>
    <w:rsid w:val="00783D9D"/>
    <w:rsid w:val="007E0B45"/>
    <w:rsid w:val="008A5735"/>
    <w:rsid w:val="008D0E71"/>
    <w:rsid w:val="008D79C7"/>
    <w:rsid w:val="0090784F"/>
    <w:rsid w:val="009269E2"/>
    <w:rsid w:val="00950881"/>
    <w:rsid w:val="0098302C"/>
    <w:rsid w:val="009D5B37"/>
    <w:rsid w:val="009E06A7"/>
    <w:rsid w:val="009E3CB4"/>
    <w:rsid w:val="00A43902"/>
    <w:rsid w:val="00A53D1E"/>
    <w:rsid w:val="00AB28D9"/>
    <w:rsid w:val="00AD7288"/>
    <w:rsid w:val="00AF6FC0"/>
    <w:rsid w:val="00B44FF3"/>
    <w:rsid w:val="00B9681E"/>
    <w:rsid w:val="00BB0FC8"/>
    <w:rsid w:val="00C10BC3"/>
    <w:rsid w:val="00C33FC7"/>
    <w:rsid w:val="00CE53D8"/>
    <w:rsid w:val="00D03E48"/>
    <w:rsid w:val="00D553FE"/>
    <w:rsid w:val="00DD6091"/>
    <w:rsid w:val="00DE3A38"/>
    <w:rsid w:val="00E14F24"/>
    <w:rsid w:val="00E3637D"/>
    <w:rsid w:val="00E95E73"/>
    <w:rsid w:val="00F11BBB"/>
    <w:rsid w:val="00F3209F"/>
    <w:rsid w:val="00F56D0E"/>
    <w:rsid w:val="00F7733C"/>
    <w:rsid w:val="00FA228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784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0BC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10BC3"/>
    <w:rPr>
      <w:sz w:val="18"/>
      <w:szCs w:val="18"/>
    </w:rPr>
  </w:style>
  <w:style w:type="paragraph" w:styleId="a4">
    <w:name w:val="footer"/>
    <w:basedOn w:val="a"/>
    <w:link w:val="Char0"/>
    <w:uiPriority w:val="99"/>
    <w:unhideWhenUsed/>
    <w:rsid w:val="00C10BC3"/>
    <w:pPr>
      <w:tabs>
        <w:tab w:val="center" w:pos="4153"/>
        <w:tab w:val="right" w:pos="8306"/>
      </w:tabs>
      <w:snapToGrid w:val="0"/>
      <w:jc w:val="left"/>
    </w:pPr>
    <w:rPr>
      <w:sz w:val="18"/>
      <w:szCs w:val="18"/>
    </w:rPr>
  </w:style>
  <w:style w:type="character" w:customStyle="1" w:styleId="Char0">
    <w:name w:val="页脚 Char"/>
    <w:basedOn w:val="a0"/>
    <w:link w:val="a4"/>
    <w:uiPriority w:val="99"/>
    <w:rsid w:val="00C10BC3"/>
    <w:rPr>
      <w:sz w:val="18"/>
      <w:szCs w:val="18"/>
    </w:rPr>
  </w:style>
  <w:style w:type="paragraph" w:styleId="a5">
    <w:name w:val="List Paragraph"/>
    <w:basedOn w:val="a"/>
    <w:uiPriority w:val="34"/>
    <w:qFormat/>
    <w:rsid w:val="00C10BC3"/>
    <w:pPr>
      <w:ind w:firstLineChars="200" w:firstLine="420"/>
    </w:pPr>
  </w:style>
  <w:style w:type="table" w:styleId="a6">
    <w:name w:val="Table Grid"/>
    <w:basedOn w:val="a1"/>
    <w:uiPriority w:val="59"/>
    <w:rsid w:val="001F0E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Date"/>
    <w:basedOn w:val="a"/>
    <w:next w:val="a"/>
    <w:link w:val="Char1"/>
    <w:uiPriority w:val="99"/>
    <w:semiHidden/>
    <w:unhideWhenUsed/>
    <w:rsid w:val="008D79C7"/>
    <w:pPr>
      <w:ind w:leftChars="2500" w:left="100"/>
    </w:pPr>
  </w:style>
  <w:style w:type="character" w:customStyle="1" w:styleId="Char1">
    <w:name w:val="日期 Char"/>
    <w:basedOn w:val="a0"/>
    <w:link w:val="a7"/>
    <w:uiPriority w:val="99"/>
    <w:semiHidden/>
    <w:rsid w:val="008D79C7"/>
  </w:style>
  <w:style w:type="paragraph" w:customStyle="1" w:styleId="a8">
    <w:name w:val="标准文件_段"/>
    <w:link w:val="Char2"/>
    <w:rsid w:val="002F2C84"/>
    <w:pPr>
      <w:autoSpaceDE w:val="0"/>
      <w:autoSpaceDN w:val="0"/>
      <w:ind w:firstLineChars="200" w:firstLine="200"/>
      <w:jc w:val="both"/>
    </w:pPr>
    <w:rPr>
      <w:rFonts w:ascii="宋体" w:eastAsia="宋体" w:hAnsi="Times New Roman" w:cs="Times New Roman"/>
      <w:kern w:val="0"/>
      <w:szCs w:val="20"/>
    </w:rPr>
  </w:style>
  <w:style w:type="character" w:customStyle="1" w:styleId="Char2">
    <w:name w:val="标准文件_段 Char"/>
    <w:link w:val="a8"/>
    <w:rsid w:val="002F2C84"/>
    <w:rPr>
      <w:rFonts w:ascii="宋体" w:eastAsia="宋体" w:hAnsi="Times New Roman" w:cs="Times New Roman"/>
      <w:kern w:val="0"/>
      <w:szCs w:val="20"/>
    </w:rPr>
  </w:style>
  <w:style w:type="paragraph" w:styleId="a9">
    <w:name w:val="Balloon Text"/>
    <w:basedOn w:val="a"/>
    <w:link w:val="Char3"/>
    <w:uiPriority w:val="99"/>
    <w:semiHidden/>
    <w:unhideWhenUsed/>
    <w:rsid w:val="00006381"/>
    <w:rPr>
      <w:sz w:val="18"/>
      <w:szCs w:val="18"/>
    </w:rPr>
  </w:style>
  <w:style w:type="character" w:customStyle="1" w:styleId="Char3">
    <w:name w:val="批注框文本 Char"/>
    <w:basedOn w:val="a0"/>
    <w:link w:val="a9"/>
    <w:uiPriority w:val="99"/>
    <w:semiHidden/>
    <w:rsid w:val="00006381"/>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F:\&#25968;&#25454;&#21453;&#39304;\&#23425;&#24503;&#26102;&#20195;\&#30913;&#26834;&#25552;&#21462;&#25968;&#25454;&#25910;&#38598;.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zh-CN"/>
  <c:chart>
    <c:title>
      <c:tx>
        <c:rich>
          <a:bodyPr rot="0" spcFirstLastPara="1" vertOverflow="ellipsis" vert="horz" wrap="square" anchor="ctr" anchorCtr="1"/>
          <a:lstStyle/>
          <a:p>
            <a:pPr>
              <a:defRPr sz="1260" b="1" i="0" u="none" strike="noStrike" kern="1200" baseline="0">
                <a:solidFill>
                  <a:sysClr val="windowText" lastClr="000000"/>
                </a:solidFill>
                <a:latin typeface="+mn-lt"/>
                <a:ea typeface="+mn-ea"/>
                <a:cs typeface="+mn-cs"/>
              </a:defRPr>
            </a:pPr>
            <a:r>
              <a:rPr lang="zh-CN"/>
              <a:t>吸附率验证</a:t>
            </a:r>
          </a:p>
        </c:rich>
      </c:tx>
      <c:spPr>
        <a:noFill/>
        <a:ln>
          <a:noFill/>
        </a:ln>
        <a:effectLst/>
      </c:spPr>
    </c:title>
    <c:plotArea>
      <c:layout>
        <c:manualLayout>
          <c:layoutTarget val="inner"/>
          <c:xMode val="edge"/>
          <c:yMode val="edge"/>
          <c:x val="0.14124567762363038"/>
          <c:y val="0.15850132279281856"/>
          <c:w val="0.72510769487147464"/>
          <c:h val="0.67969553805774474"/>
        </c:manualLayout>
      </c:layout>
      <c:barChart>
        <c:barDir val="col"/>
        <c:grouping val="clustered"/>
        <c:ser>
          <c:idx val="2"/>
          <c:order val="0"/>
          <c:tx>
            <c:strRef>
              <c:f>吸附率!$C$9</c:f>
              <c:strCache>
                <c:ptCount val="1"/>
                <c:pt idx="0">
                  <c:v>颗粒测试值</c:v>
                </c:pt>
              </c:strCache>
            </c:strRef>
          </c:tx>
          <c:spPr>
            <a:solidFill>
              <a:srgbClr val="7030A0"/>
            </a:solidFill>
            <a:ln>
              <a:noFill/>
            </a:ln>
            <a:effectLst/>
          </c:spPr>
          <c:cat>
            <c:strRef>
              <c:f>吸附率!$B$10:$B$12</c:f>
              <c:strCache>
                <c:ptCount val="3"/>
                <c:pt idx="0">
                  <c:v>一次提取</c:v>
                </c:pt>
                <c:pt idx="1">
                  <c:v>二次提取</c:v>
                </c:pt>
                <c:pt idx="2">
                  <c:v>三次提取</c:v>
                </c:pt>
              </c:strCache>
            </c:strRef>
          </c:cat>
          <c:val>
            <c:numRef>
              <c:f>吸附率!$C$10:$C$12</c:f>
              <c:numCache>
                <c:formatCode>0</c:formatCode>
                <c:ptCount val="3"/>
                <c:pt idx="0">
                  <c:v>47</c:v>
                </c:pt>
                <c:pt idx="1">
                  <c:v>19.5</c:v>
                </c:pt>
                <c:pt idx="2">
                  <c:v>12</c:v>
                </c:pt>
              </c:numCache>
            </c:numRef>
          </c:val>
          <c:extLst xmlns:c16r2="http://schemas.microsoft.com/office/drawing/2015/06/chart">
            <c:ext xmlns:c16="http://schemas.microsoft.com/office/drawing/2014/chart" uri="{C3380CC4-5D6E-409C-BE32-E72D297353CC}">
              <c16:uniqueId val="{00000000-98BE-42FC-864D-1DAD355152D4}"/>
            </c:ext>
          </c:extLst>
        </c:ser>
        <c:ser>
          <c:idx val="4"/>
          <c:order val="2"/>
          <c:tx>
            <c:strRef>
              <c:f>吸附率!$C$22</c:f>
              <c:strCache>
                <c:ptCount val="1"/>
                <c:pt idx="0">
                  <c:v>颗粒测试值</c:v>
                </c:pt>
              </c:strCache>
            </c:strRef>
          </c:tx>
          <c:spPr>
            <a:solidFill>
              <a:srgbClr val="00B0F0"/>
            </a:solidFill>
            <a:ln>
              <a:noFill/>
            </a:ln>
            <a:effectLst/>
          </c:spPr>
          <c:cat>
            <c:strRef>
              <c:f>吸附率!$B$23:$B$25</c:f>
              <c:strCache>
                <c:ptCount val="3"/>
                <c:pt idx="0">
                  <c:v>一次提取</c:v>
                </c:pt>
                <c:pt idx="1">
                  <c:v>二次提取</c:v>
                </c:pt>
                <c:pt idx="2">
                  <c:v>三次提取</c:v>
                </c:pt>
              </c:strCache>
            </c:strRef>
          </c:cat>
          <c:val>
            <c:numRef>
              <c:f>吸附率!$C$23:$C$25</c:f>
              <c:numCache>
                <c:formatCode>General</c:formatCode>
                <c:ptCount val="3"/>
                <c:pt idx="0">
                  <c:v>60</c:v>
                </c:pt>
                <c:pt idx="1">
                  <c:v>10</c:v>
                </c:pt>
                <c:pt idx="2">
                  <c:v>4</c:v>
                </c:pt>
              </c:numCache>
            </c:numRef>
          </c:val>
          <c:extLst xmlns:c16r2="http://schemas.microsoft.com/office/drawing/2015/06/chart">
            <c:ext xmlns:c16="http://schemas.microsoft.com/office/drawing/2014/chart" uri="{C3380CC4-5D6E-409C-BE32-E72D297353CC}">
              <c16:uniqueId val="{00000001-98BE-42FC-864D-1DAD355152D4}"/>
            </c:ext>
          </c:extLst>
        </c:ser>
        <c:ser>
          <c:idx val="6"/>
          <c:order val="4"/>
          <c:tx>
            <c:strRef>
              <c:f>吸附率!$C$50</c:f>
              <c:strCache>
                <c:ptCount val="1"/>
                <c:pt idx="0">
                  <c:v>颗粒测试值</c:v>
                </c:pt>
              </c:strCache>
            </c:strRef>
          </c:tx>
          <c:spPr>
            <a:solidFill>
              <a:srgbClr val="00B050"/>
            </a:solidFill>
            <a:ln>
              <a:noFill/>
            </a:ln>
            <a:effectLst/>
          </c:spPr>
          <c:cat>
            <c:strRef>
              <c:f>吸附率!$B$51:$B$53</c:f>
              <c:strCache>
                <c:ptCount val="3"/>
                <c:pt idx="0">
                  <c:v>一次提取</c:v>
                </c:pt>
                <c:pt idx="1">
                  <c:v>二次提取</c:v>
                </c:pt>
                <c:pt idx="2">
                  <c:v>三次提取</c:v>
                </c:pt>
              </c:strCache>
            </c:strRef>
          </c:cat>
          <c:val>
            <c:numRef>
              <c:f>吸附率!$C$51:$C$53</c:f>
              <c:numCache>
                <c:formatCode>0</c:formatCode>
                <c:ptCount val="3"/>
                <c:pt idx="0">
                  <c:v>83.5</c:v>
                </c:pt>
                <c:pt idx="1">
                  <c:v>4.5</c:v>
                </c:pt>
                <c:pt idx="2">
                  <c:v>4.5</c:v>
                </c:pt>
              </c:numCache>
            </c:numRef>
          </c:val>
          <c:extLst xmlns:c16r2="http://schemas.microsoft.com/office/drawing/2015/06/chart">
            <c:ext xmlns:c16="http://schemas.microsoft.com/office/drawing/2014/chart" uri="{C3380CC4-5D6E-409C-BE32-E72D297353CC}">
              <c16:uniqueId val="{00000002-98BE-42FC-864D-1DAD355152D4}"/>
            </c:ext>
          </c:extLst>
        </c:ser>
        <c:ser>
          <c:idx val="0"/>
          <c:order val="6"/>
          <c:tx>
            <c:strRef>
              <c:f>吸附率!$C$50</c:f>
              <c:strCache>
                <c:ptCount val="1"/>
                <c:pt idx="0">
                  <c:v>颗粒测试值</c:v>
                </c:pt>
              </c:strCache>
            </c:strRef>
          </c:tx>
          <c:spPr>
            <a:solidFill>
              <a:schemeClr val="tx1"/>
            </a:solidFill>
            <a:ln>
              <a:noFill/>
            </a:ln>
            <a:effectLst/>
          </c:spPr>
          <c:cat>
            <c:strRef>
              <c:f>吸附率!$B$51:$B$53</c:f>
              <c:strCache>
                <c:ptCount val="3"/>
                <c:pt idx="0">
                  <c:v>一次提取</c:v>
                </c:pt>
                <c:pt idx="1">
                  <c:v>二次提取</c:v>
                </c:pt>
                <c:pt idx="2">
                  <c:v>三次提取</c:v>
                </c:pt>
              </c:strCache>
            </c:strRef>
          </c:cat>
          <c:val>
            <c:numRef>
              <c:f>吸附率!$C$51:$C$53</c:f>
              <c:numCache>
                <c:formatCode>0</c:formatCode>
                <c:ptCount val="3"/>
                <c:pt idx="0">
                  <c:v>83.5</c:v>
                </c:pt>
                <c:pt idx="1">
                  <c:v>4.5</c:v>
                </c:pt>
                <c:pt idx="2">
                  <c:v>4.5</c:v>
                </c:pt>
              </c:numCache>
            </c:numRef>
          </c:val>
          <c:extLst xmlns:c16r2="http://schemas.microsoft.com/office/drawing/2015/06/chart">
            <c:ext xmlns:c16="http://schemas.microsoft.com/office/drawing/2014/chart" uri="{C3380CC4-5D6E-409C-BE32-E72D297353CC}">
              <c16:uniqueId val="{00000003-98BE-42FC-864D-1DAD355152D4}"/>
            </c:ext>
          </c:extLst>
        </c:ser>
        <c:gapWidth val="197"/>
        <c:overlap val="-15"/>
        <c:axId val="93128576"/>
        <c:axId val="93130112"/>
      </c:barChart>
      <c:lineChart>
        <c:grouping val="standard"/>
        <c:ser>
          <c:idx val="3"/>
          <c:order val="1"/>
          <c:tx>
            <c:strRef>
              <c:f>吸附率!$G$9</c:f>
              <c:strCache>
                <c:ptCount val="1"/>
                <c:pt idx="0">
                  <c:v>吸附率</c:v>
                </c:pt>
              </c:strCache>
            </c:strRef>
          </c:tx>
          <c:spPr>
            <a:ln w="28575" cap="rnd" cmpd="sng" algn="ctr">
              <a:solidFill>
                <a:srgbClr val="7030A0"/>
              </a:solidFill>
              <a:prstDash val="solid"/>
              <a:round/>
            </a:ln>
            <a:effectLst/>
          </c:spPr>
          <c:marker>
            <c:spPr>
              <a:solidFill>
                <a:srgbClr val="7030A0"/>
              </a:solidFill>
              <a:ln w="9525" cap="flat" cmpd="sng" algn="ctr">
                <a:solidFill>
                  <a:srgbClr val="7030A0"/>
                </a:solidFill>
                <a:prstDash val="solid"/>
                <a:round/>
              </a:ln>
              <a:effectLst/>
            </c:spPr>
          </c:marker>
          <c:dLbls>
            <c:dLbl>
              <c:idx val="0"/>
              <c:layout>
                <c:manualLayout>
                  <c:x val="-2.8436026031776238E-2"/>
                  <c:y val="1.4035087719298249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98BE-42FC-864D-1DAD355152D4}"/>
                </c:ext>
              </c:extLst>
            </c:dLbl>
            <c:spPr>
              <a:noFill/>
              <a:ln>
                <a:noFill/>
              </a:ln>
              <a:effectLst/>
            </c:spPr>
            <c:txPr>
              <a:bodyPr rot="0" spcFirstLastPara="1" vertOverflow="ellipsis" vert="horz" wrap="square" anchor="ctr" anchorCtr="1"/>
              <a:lstStyle/>
              <a:p>
                <a:pPr>
                  <a:defRPr sz="1050" b="0" i="0" u="none" strike="noStrike" kern="1200" baseline="0">
                    <a:solidFill>
                      <a:sysClr val="windowText" lastClr="000000"/>
                    </a:solidFill>
                    <a:latin typeface="+mn-lt"/>
                    <a:ea typeface="+mn-ea"/>
                    <a:cs typeface="+mn-cs"/>
                  </a:defRPr>
                </a:pPr>
                <a:endParaRPr lang="zh-CN"/>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shade val="95000"/>
                          <a:satMod val="105000"/>
                        </a:schemeClr>
                      </a:solidFill>
                      <a:prstDash val="solid"/>
                      <a:round/>
                    </a:ln>
                    <a:effectLst/>
                  </c:spPr>
                </c15:leaderLines>
              </c:ext>
            </c:extLst>
          </c:dLbls>
          <c:cat>
            <c:strRef>
              <c:f>吸附率!$B$10:$B$12</c:f>
              <c:strCache>
                <c:ptCount val="3"/>
                <c:pt idx="0">
                  <c:v>一次提取</c:v>
                </c:pt>
                <c:pt idx="1">
                  <c:v>二次提取</c:v>
                </c:pt>
                <c:pt idx="2">
                  <c:v>三次提取</c:v>
                </c:pt>
              </c:strCache>
            </c:strRef>
          </c:cat>
          <c:val>
            <c:numRef>
              <c:f>吸附率!$G$10:$G$12</c:f>
              <c:numCache>
                <c:formatCode>0%</c:formatCode>
                <c:ptCount val="3"/>
                <c:pt idx="0">
                  <c:v>0.59872611464968184</c:v>
                </c:pt>
                <c:pt idx="1">
                  <c:v>0.8471337579617837</c:v>
                </c:pt>
                <c:pt idx="2">
                  <c:v>1</c:v>
                </c:pt>
              </c:numCache>
            </c:numRef>
          </c:val>
          <c:extLst xmlns:c16r2="http://schemas.microsoft.com/office/drawing/2015/06/chart">
            <c:ext xmlns:c16="http://schemas.microsoft.com/office/drawing/2014/chart" uri="{C3380CC4-5D6E-409C-BE32-E72D297353CC}">
              <c16:uniqueId val="{00000005-98BE-42FC-864D-1DAD355152D4}"/>
            </c:ext>
          </c:extLst>
        </c:ser>
        <c:ser>
          <c:idx val="5"/>
          <c:order val="3"/>
          <c:tx>
            <c:strRef>
              <c:f>吸附率!$G$22</c:f>
              <c:strCache>
                <c:ptCount val="1"/>
                <c:pt idx="0">
                  <c:v>吸附率</c:v>
                </c:pt>
              </c:strCache>
            </c:strRef>
          </c:tx>
          <c:spPr>
            <a:ln w="28575" cap="rnd" cmpd="sng" algn="ctr">
              <a:solidFill>
                <a:srgbClr val="00B0F0"/>
              </a:solidFill>
              <a:prstDash val="solid"/>
              <a:round/>
            </a:ln>
            <a:effectLst/>
          </c:spPr>
          <c:marker>
            <c:spPr>
              <a:solidFill>
                <a:srgbClr val="00B0F0"/>
              </a:solidFill>
              <a:ln w="9525" cap="flat" cmpd="sng" algn="ctr">
                <a:solidFill>
                  <a:srgbClr val="00B0F0"/>
                </a:solidFill>
                <a:prstDash val="solid"/>
                <a:round/>
              </a:ln>
              <a:effectLst/>
            </c:spPr>
          </c:marker>
          <c:cat>
            <c:strRef>
              <c:f>吸附率!$B$23:$B$25</c:f>
              <c:strCache>
                <c:ptCount val="3"/>
                <c:pt idx="0">
                  <c:v>一次提取</c:v>
                </c:pt>
                <c:pt idx="1">
                  <c:v>二次提取</c:v>
                </c:pt>
                <c:pt idx="2">
                  <c:v>三次提取</c:v>
                </c:pt>
              </c:strCache>
            </c:strRef>
          </c:cat>
          <c:val>
            <c:numRef>
              <c:f>吸附率!$G$23:$G$25</c:f>
              <c:numCache>
                <c:formatCode>0%</c:formatCode>
                <c:ptCount val="3"/>
                <c:pt idx="0">
                  <c:v>0.81081081081081163</c:v>
                </c:pt>
                <c:pt idx="1">
                  <c:v>0.9459459459459455</c:v>
                </c:pt>
                <c:pt idx="2">
                  <c:v>1</c:v>
                </c:pt>
              </c:numCache>
            </c:numRef>
          </c:val>
          <c:extLst xmlns:c16r2="http://schemas.microsoft.com/office/drawing/2015/06/chart">
            <c:ext xmlns:c16="http://schemas.microsoft.com/office/drawing/2014/chart" uri="{C3380CC4-5D6E-409C-BE32-E72D297353CC}">
              <c16:uniqueId val="{00000006-98BE-42FC-864D-1DAD355152D4}"/>
            </c:ext>
          </c:extLst>
        </c:ser>
        <c:ser>
          <c:idx val="7"/>
          <c:order val="5"/>
          <c:tx>
            <c:strRef>
              <c:f>吸附率!$G$36</c:f>
              <c:strCache>
                <c:ptCount val="1"/>
                <c:pt idx="0">
                  <c:v>吸附率</c:v>
                </c:pt>
              </c:strCache>
            </c:strRef>
          </c:tx>
          <c:spPr>
            <a:ln w="28575" cap="rnd" cmpd="sng" algn="ctr">
              <a:solidFill>
                <a:schemeClr val="tx1"/>
              </a:solidFill>
              <a:prstDash val="solid"/>
              <a:round/>
            </a:ln>
            <a:effectLst/>
          </c:spPr>
          <c:marker>
            <c:spPr>
              <a:solidFill>
                <a:schemeClr val="tx1"/>
              </a:solidFill>
              <a:ln w="9525" cap="flat" cmpd="sng" algn="ctr">
                <a:solidFill>
                  <a:schemeClr val="tx1"/>
                </a:solidFill>
                <a:prstDash val="solid"/>
                <a:round/>
              </a:ln>
              <a:effectLst/>
            </c:spPr>
          </c:marker>
          <c:cat>
            <c:strRef>
              <c:f>吸附率!$B$37:$B$39</c:f>
              <c:strCache>
                <c:ptCount val="3"/>
                <c:pt idx="0">
                  <c:v>一次提取</c:v>
                </c:pt>
                <c:pt idx="1">
                  <c:v>二次提取</c:v>
                </c:pt>
                <c:pt idx="2">
                  <c:v>三次提取</c:v>
                </c:pt>
              </c:strCache>
            </c:strRef>
          </c:cat>
          <c:val>
            <c:numRef>
              <c:f>吸附率!$G$37:$G$39</c:f>
              <c:numCache>
                <c:formatCode>0.0%</c:formatCode>
                <c:ptCount val="3"/>
                <c:pt idx="0">
                  <c:v>0.9</c:v>
                </c:pt>
                <c:pt idx="1">
                  <c:v>0.95454545454545625</c:v>
                </c:pt>
                <c:pt idx="2" formatCode="0%">
                  <c:v>1</c:v>
                </c:pt>
              </c:numCache>
            </c:numRef>
          </c:val>
          <c:extLst xmlns:c16r2="http://schemas.microsoft.com/office/drawing/2015/06/chart">
            <c:ext xmlns:c16="http://schemas.microsoft.com/office/drawing/2014/chart" uri="{C3380CC4-5D6E-409C-BE32-E72D297353CC}">
              <c16:uniqueId val="{00000007-98BE-42FC-864D-1DAD355152D4}"/>
            </c:ext>
          </c:extLst>
        </c:ser>
        <c:ser>
          <c:idx val="1"/>
          <c:order val="7"/>
          <c:tx>
            <c:strRef>
              <c:f>吸附率!$G$50</c:f>
              <c:strCache>
                <c:ptCount val="1"/>
                <c:pt idx="0">
                  <c:v>吸附率</c:v>
                </c:pt>
              </c:strCache>
            </c:strRef>
          </c:tx>
          <c:spPr>
            <a:ln w="28575" cap="rnd" cmpd="sng" algn="ctr">
              <a:solidFill>
                <a:srgbClr val="00B050"/>
              </a:solidFill>
              <a:prstDash val="solid"/>
              <a:round/>
            </a:ln>
            <a:effectLst/>
          </c:spPr>
          <c:marker>
            <c:symbol val="circle"/>
            <c:size val="5"/>
            <c:spPr>
              <a:solidFill>
                <a:srgbClr val="00B050"/>
              </a:solidFill>
              <a:ln w="9525" cap="flat" cmpd="sng" algn="ctr">
                <a:solidFill>
                  <a:srgbClr val="00B050"/>
                </a:solidFill>
                <a:prstDash val="solid"/>
                <a:round/>
              </a:ln>
              <a:effectLst/>
            </c:spPr>
          </c:marker>
          <c:dLbls>
            <c:spPr>
              <a:noFill/>
              <a:ln>
                <a:noFill/>
              </a:ln>
              <a:effectLst/>
            </c:spPr>
            <c:txPr>
              <a:bodyPr rot="0" spcFirstLastPara="1" vertOverflow="ellipsis" vert="horz" wrap="square" anchor="ctr" anchorCtr="1"/>
              <a:lstStyle/>
              <a:p>
                <a:pPr>
                  <a:defRPr sz="1050" b="0" i="0" u="none" strike="noStrike" kern="1200" baseline="0">
                    <a:solidFill>
                      <a:sysClr val="windowText" lastClr="000000"/>
                    </a:solidFill>
                    <a:latin typeface="+mn-lt"/>
                    <a:ea typeface="+mn-ea"/>
                    <a:cs typeface="+mn-cs"/>
                  </a:defRPr>
                </a:pPr>
                <a:endParaRPr lang="zh-CN"/>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prstDash val="solid"/>
                      <a:round/>
                    </a:ln>
                    <a:effectLst/>
                  </c:spPr>
                </c15:leaderLines>
              </c:ext>
            </c:extLst>
          </c:dLbls>
          <c:cat>
            <c:strRef>
              <c:f>吸附率!$B$51:$B$53</c:f>
              <c:strCache>
                <c:ptCount val="3"/>
                <c:pt idx="0">
                  <c:v>一次提取</c:v>
                </c:pt>
                <c:pt idx="1">
                  <c:v>二次提取</c:v>
                </c:pt>
                <c:pt idx="2">
                  <c:v>三次提取</c:v>
                </c:pt>
              </c:strCache>
            </c:strRef>
          </c:cat>
          <c:val>
            <c:numRef>
              <c:f>吸附率!$G$51:$G$53</c:f>
              <c:numCache>
                <c:formatCode>0.0%</c:formatCode>
                <c:ptCount val="3"/>
                <c:pt idx="0">
                  <c:v>0.90270270270270259</c:v>
                </c:pt>
                <c:pt idx="1">
                  <c:v>0.9513513513513514</c:v>
                </c:pt>
                <c:pt idx="2" formatCode="0%">
                  <c:v>1</c:v>
                </c:pt>
              </c:numCache>
            </c:numRef>
          </c:val>
          <c:extLst xmlns:c16r2="http://schemas.microsoft.com/office/drawing/2015/06/chart">
            <c:ext xmlns:c16="http://schemas.microsoft.com/office/drawing/2014/chart" uri="{C3380CC4-5D6E-409C-BE32-E72D297353CC}">
              <c16:uniqueId val="{00000008-98BE-42FC-864D-1DAD355152D4}"/>
            </c:ext>
          </c:extLst>
        </c:ser>
        <c:marker val="1"/>
        <c:axId val="93145728"/>
        <c:axId val="93144192"/>
      </c:lineChart>
      <c:catAx>
        <c:axId val="93128576"/>
        <c:scaling>
          <c:orientation val="minMax"/>
        </c:scaling>
        <c:axPos val="b"/>
        <c:numFmt formatCode="General" sourceLinked="1"/>
        <c:majorTickMark val="none"/>
        <c:tickLblPos val="nextTo"/>
        <c:spPr>
          <a:noFill/>
          <a:ln w="9525" cap="flat" cmpd="sng" algn="ctr">
            <a:solidFill>
              <a:sysClr val="windowText" lastClr="000000"/>
            </a:solidFill>
            <a:prstDash val="solid"/>
            <a:round/>
          </a:ln>
          <a:effectLst/>
        </c:spPr>
        <c:txPr>
          <a:bodyPr rot="-60000000" spcFirstLastPara="1" vertOverflow="ellipsis" vert="horz" wrap="square" anchor="ctr" anchorCtr="1"/>
          <a:lstStyle/>
          <a:p>
            <a:pPr>
              <a:defRPr sz="1050" b="0" i="0" u="none" strike="noStrike" kern="1200" baseline="0">
                <a:solidFill>
                  <a:sysClr val="windowText" lastClr="000000"/>
                </a:solidFill>
                <a:latin typeface="+mn-lt"/>
                <a:ea typeface="+mn-ea"/>
                <a:cs typeface="+mn-cs"/>
              </a:defRPr>
            </a:pPr>
            <a:endParaRPr lang="zh-CN"/>
          </a:p>
        </c:txPr>
        <c:crossAx val="93130112"/>
        <c:crosses val="autoZero"/>
        <c:auto val="1"/>
        <c:lblAlgn val="ctr"/>
        <c:lblOffset val="100"/>
      </c:catAx>
      <c:valAx>
        <c:axId val="93130112"/>
        <c:scaling>
          <c:orientation val="minMax"/>
        </c:scaling>
        <c:axPos val="l"/>
        <c:majorGridlines>
          <c:spPr>
            <a:ln w="9525" cap="flat" cmpd="sng" algn="ctr">
              <a:solidFill>
                <a:schemeClr val="tx1">
                  <a:lumMod val="15000"/>
                  <a:lumOff val="85000"/>
                </a:schemeClr>
              </a:solidFill>
              <a:prstDash val="dash"/>
              <a:round/>
            </a:ln>
            <a:effectLst/>
          </c:spPr>
        </c:majorGridlines>
        <c:title>
          <c:tx>
            <c:rich>
              <a:bodyPr rot="-5400000" spcFirstLastPara="1" vertOverflow="ellipsis" vert="horz" wrap="square" anchor="ctr" anchorCtr="1"/>
              <a:lstStyle/>
              <a:p>
                <a:pPr>
                  <a:defRPr sz="1050" b="1" i="0" u="none" strike="noStrike" kern="1200" baseline="0">
                    <a:solidFill>
                      <a:sysClr val="windowText" lastClr="000000"/>
                    </a:solidFill>
                    <a:latin typeface="+mn-lt"/>
                    <a:ea typeface="+mn-ea"/>
                    <a:cs typeface="+mn-cs"/>
                  </a:defRPr>
                </a:pPr>
                <a:r>
                  <a:rPr lang="en-US"/>
                  <a:t>Particle /EA</a:t>
                </a:r>
                <a:endParaRPr lang="zh-CN"/>
              </a:p>
            </c:rich>
          </c:tx>
          <c:spPr>
            <a:noFill/>
            <a:ln>
              <a:noFill/>
            </a:ln>
            <a:effectLst/>
          </c:spPr>
        </c:title>
        <c:numFmt formatCode="0" sourceLinked="1"/>
        <c:majorTickMark val="none"/>
        <c:tickLblPos val="nextTo"/>
        <c:spPr>
          <a:noFill/>
          <a:ln w="9525" cap="flat" cmpd="sng" algn="ctr">
            <a:noFill/>
            <a:prstDash val="solid"/>
            <a:round/>
          </a:ln>
          <a:effectLst/>
        </c:spPr>
        <c:txPr>
          <a:bodyPr rot="-60000000" spcFirstLastPara="1" vertOverflow="ellipsis" vert="horz" wrap="square" anchor="ctr" anchorCtr="1"/>
          <a:lstStyle/>
          <a:p>
            <a:pPr>
              <a:defRPr sz="1050" b="0" i="0" u="none" strike="noStrike" kern="1200" baseline="0">
                <a:solidFill>
                  <a:sysClr val="windowText" lastClr="000000"/>
                </a:solidFill>
                <a:latin typeface="+mn-lt"/>
                <a:ea typeface="+mn-ea"/>
                <a:cs typeface="+mn-cs"/>
              </a:defRPr>
            </a:pPr>
            <a:endParaRPr lang="zh-CN"/>
          </a:p>
        </c:txPr>
        <c:crossAx val="93128576"/>
        <c:crosses val="autoZero"/>
        <c:crossBetween val="between"/>
      </c:valAx>
      <c:valAx>
        <c:axId val="93144192"/>
        <c:scaling>
          <c:orientation val="minMax"/>
          <c:max val="1"/>
          <c:min val="0.5"/>
        </c:scaling>
        <c:axPos val="r"/>
        <c:numFmt formatCode="0%" sourceLinked="1"/>
        <c:tickLblPos val="nextTo"/>
        <c:spPr>
          <a:noFill/>
          <a:ln w="9525" cap="flat" cmpd="sng" algn="ctr">
            <a:noFill/>
            <a:prstDash val="solid"/>
            <a:round/>
          </a:ln>
          <a:effectLst/>
        </c:spPr>
        <c:txPr>
          <a:bodyPr rot="-60000000" spcFirstLastPara="1" vertOverflow="ellipsis" vert="horz" wrap="square" anchor="ctr" anchorCtr="1"/>
          <a:lstStyle/>
          <a:p>
            <a:pPr>
              <a:defRPr sz="1050" b="0" i="0" u="none" strike="noStrike" kern="1200" baseline="0">
                <a:solidFill>
                  <a:sysClr val="windowText" lastClr="000000"/>
                </a:solidFill>
                <a:latin typeface="+mn-lt"/>
                <a:ea typeface="+mn-ea"/>
                <a:cs typeface="+mn-cs"/>
              </a:defRPr>
            </a:pPr>
            <a:endParaRPr lang="zh-CN"/>
          </a:p>
        </c:txPr>
        <c:crossAx val="93145728"/>
        <c:crosses val="max"/>
        <c:crossBetween val="between"/>
      </c:valAx>
      <c:catAx>
        <c:axId val="93145728"/>
        <c:scaling>
          <c:orientation val="minMax"/>
        </c:scaling>
        <c:delete val="1"/>
        <c:axPos val="b"/>
        <c:numFmt formatCode="General" sourceLinked="1"/>
        <c:tickLblPos val="none"/>
        <c:crossAx val="93144192"/>
        <c:crosses val="autoZero"/>
        <c:auto val="1"/>
        <c:lblAlgn val="ctr"/>
        <c:lblOffset val="100"/>
      </c:catAx>
      <c:spPr>
        <a:noFill/>
        <a:ln>
          <a:solidFill>
            <a:sysClr val="windowText" lastClr="000000"/>
          </a:solidFill>
        </a:ln>
        <a:effectLst/>
      </c:spPr>
    </c:plotArea>
    <c:plotVisOnly val="1"/>
    <c:dispBlanksAs val="gap"/>
  </c:chart>
  <c:spPr>
    <a:solidFill>
      <a:schemeClr val="bg1"/>
    </a:solidFill>
    <a:ln w="9525" cap="flat" cmpd="sng" algn="ctr">
      <a:solidFill>
        <a:schemeClr val="tx1">
          <a:tint val="75000"/>
          <a:shade val="95000"/>
          <a:satMod val="105000"/>
        </a:schemeClr>
      </a:solidFill>
      <a:prstDash val="solid"/>
      <a:round/>
    </a:ln>
    <a:effectLst/>
  </c:spPr>
  <c:txPr>
    <a:bodyPr/>
    <a:lstStyle/>
    <a:p>
      <a:pPr>
        <a:defRPr sz="1050">
          <a:solidFill>
            <a:sysClr val="windowText" lastClr="000000"/>
          </a:solidFill>
        </a:defRPr>
      </a:pPr>
      <a:endParaRPr lang="zh-CN"/>
    </a:p>
  </c:txPr>
  <c:externalData r:id="rId1"/>
  <c:userShapes r:id="rId2"/>
</c:chartSpace>
</file>

<file path=word/drawings/_rels/drawing1.xml.rels><?xml version="1.0" encoding="UTF-8" standalone="yes"?>
<Relationships xmlns="http://schemas.openxmlformats.org/package/2006/relationships"><Relationship Id="rId1" Type="http://schemas.openxmlformats.org/officeDocument/2006/relationships/image" Target="../media/image6.png"/></Relationships>
</file>

<file path=word/drawings/drawing1.xml><?xml version="1.0" encoding="utf-8"?>
<c:userShapes xmlns:c="http://schemas.openxmlformats.org/drawingml/2006/chart">
  <cdr:relSizeAnchor xmlns:cdr="http://schemas.openxmlformats.org/drawingml/2006/chartDrawing">
    <cdr:from>
      <cdr:x>0</cdr:x>
      <cdr:y>0</cdr:y>
    </cdr:from>
    <cdr:to>
      <cdr:x>1</cdr:x>
      <cdr:y>1</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0" y="0"/>
          <a:ext cx="8331628" cy="4521432"/>
        </a:xfrm>
        <a:prstGeom xmlns:a="http://schemas.openxmlformats.org/drawingml/2006/main" prst="rect">
          <a:avLst/>
        </a:prstGeom>
      </cdr:spPr>
    </cdr:pic>
  </cdr:relSizeAnchor>
</c:userShap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8</Pages>
  <Words>469</Words>
  <Characters>2676</Characters>
  <Application>Microsoft Office Word</Application>
  <DocSecurity>0</DocSecurity>
  <Lines>22</Lines>
  <Paragraphs>6</Paragraphs>
  <ScaleCrop>false</ScaleCrop>
  <Company/>
  <LinksUpToDate>false</LinksUpToDate>
  <CharactersWithSpaces>3139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唐诗俊</cp:lastModifiedBy>
  <cp:revision>4</cp:revision>
  <dcterms:created xsi:type="dcterms:W3CDTF">2024-05-30T01:36:00Z</dcterms:created>
  <dcterms:modified xsi:type="dcterms:W3CDTF">2024-05-30T01:43:00Z</dcterms:modified>
</cp:coreProperties>
</file>